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9210A">
      <w:pPr>
        <w:rPr>
          <w:rFonts w:hint="eastAsia" w:ascii="宋体" w:hAnsi="宋体" w:eastAsia="宋体" w:cs="宋体"/>
          <w:kern w:val="2"/>
          <w:sz w:val="21"/>
          <w:szCs w:val="24"/>
          <w:lang w:val="en-US" w:eastAsia="zh-CN" w:bidi="ar-SA"/>
        </w:rPr>
      </w:pPr>
    </w:p>
    <w:p w14:paraId="4FD50D24">
      <w:pPr>
        <w:jc w:val="center"/>
        <w:rPr>
          <w:rFonts w:hint="eastAsia" w:ascii="宋体" w:hAnsi="宋体" w:eastAsia="宋体" w:cs="宋体"/>
          <w:b/>
          <w:color w:val="auto"/>
          <w:sz w:val="36"/>
          <w:szCs w:val="36"/>
          <w:highlight w:val="none"/>
        </w:rPr>
      </w:pPr>
      <w:r>
        <w:rPr>
          <w:rFonts w:hint="eastAsia" w:ascii="宋体" w:hAnsi="宋体" w:eastAsia="宋体" w:cs="宋体"/>
          <w:b/>
          <w:color w:val="auto"/>
          <w:sz w:val="36"/>
          <w:szCs w:val="36"/>
          <w:highlight w:val="none"/>
          <w:lang w:val="en-US" w:eastAsia="zh-CN"/>
        </w:rPr>
        <w:t>茂名市电白区慢性病防治中心新院区建设项目检测（钢结构、幕墙工程等）服务项目市场</w:t>
      </w:r>
      <w:r>
        <w:rPr>
          <w:rFonts w:hint="eastAsia" w:ascii="宋体" w:hAnsi="宋体" w:eastAsia="宋体" w:cs="宋体"/>
          <w:b/>
          <w:color w:val="auto"/>
          <w:sz w:val="36"/>
          <w:szCs w:val="36"/>
          <w:highlight w:val="none"/>
        </w:rPr>
        <w:t>调研</w:t>
      </w:r>
    </w:p>
    <w:p w14:paraId="02A8402F">
      <w:pPr>
        <w:spacing w:line="440" w:lineRule="exact"/>
        <w:ind w:left="517" w:hanging="541" w:hangingChars="245"/>
        <w:rPr>
          <w:rFonts w:hint="eastAsia" w:ascii="宋体" w:hAnsi="宋体" w:eastAsia="宋体" w:cs="宋体"/>
        </w:rPr>
      </w:pPr>
      <w:r>
        <w:rPr>
          <w:rFonts w:hint="eastAsia" w:ascii="宋体" w:hAnsi="宋体" w:eastAsia="宋体" w:cs="宋体"/>
          <w:b/>
          <w:bCs/>
          <w:color w:val="auto"/>
          <w:sz w:val="22"/>
          <w:szCs w:val="28"/>
          <w:highlight w:val="none"/>
        </w:rPr>
        <w:t>说明：</w:t>
      </w:r>
      <w:r>
        <w:rPr>
          <w:rFonts w:hint="eastAsia" w:ascii="宋体" w:hAnsi="宋体" w:eastAsia="宋体" w:cs="宋体"/>
          <w:b/>
          <w:bCs/>
          <w:color w:val="auto"/>
          <w:sz w:val="22"/>
          <w:szCs w:val="28"/>
          <w:highlight w:val="none"/>
          <w:lang w:eastAsia="zh-CN"/>
        </w:rPr>
        <w:t>（</w:t>
      </w:r>
      <w:r>
        <w:rPr>
          <w:rFonts w:hint="eastAsia" w:ascii="宋体" w:hAnsi="宋体" w:eastAsia="宋体" w:cs="宋体"/>
          <w:b/>
          <w:bCs/>
          <w:color w:val="auto"/>
          <w:sz w:val="22"/>
          <w:szCs w:val="28"/>
          <w:highlight w:val="none"/>
        </w:rPr>
        <w:t>响应供应商须对本项目进行整体响应，任何只对其中一部分进行的响应都被视为无效响应。</w:t>
      </w:r>
      <w:r>
        <w:rPr>
          <w:rFonts w:hint="eastAsia" w:ascii="宋体" w:hAnsi="宋体" w:eastAsia="宋体" w:cs="宋体"/>
          <w:b/>
          <w:bCs/>
          <w:color w:val="auto"/>
          <w:sz w:val="22"/>
          <w:szCs w:val="28"/>
          <w:highlight w:val="none"/>
          <w:lang w:eastAsia="zh-CN"/>
        </w:rPr>
        <w:t>）</w:t>
      </w:r>
      <w:r>
        <w:rPr>
          <w:rFonts w:hint="eastAsia" w:ascii="宋体" w:hAnsi="宋体" w:eastAsia="宋体" w:cs="宋体"/>
          <w:b/>
          <w:bCs/>
          <w:color w:val="auto"/>
          <w:sz w:val="22"/>
          <w:szCs w:val="28"/>
          <w:highlight w:val="none"/>
        </w:rPr>
        <w:t xml:space="preserve"> </w:t>
      </w:r>
    </w:p>
    <w:p w14:paraId="06107A67">
      <w:pPr>
        <w:pStyle w:val="14"/>
        <w:numPr>
          <w:ilvl w:val="0"/>
          <w:numId w:val="0"/>
        </w:numPr>
        <w:spacing w:line="500" w:lineRule="exact"/>
        <w:ind w:left="142" w:leftChars="0"/>
        <w:rPr>
          <w:rFonts w:hint="eastAsia" w:ascii="宋体" w:hAnsi="宋体" w:eastAsia="宋体" w:cs="宋体"/>
          <w:b/>
          <w:bCs/>
          <w:color w:val="auto"/>
          <w:sz w:val="24"/>
          <w:szCs w:val="24"/>
          <w:highlight w:val="none"/>
        </w:rPr>
      </w:pPr>
    </w:p>
    <w:p w14:paraId="66B4E516">
      <w:pPr>
        <w:pStyle w:val="14"/>
        <w:numPr>
          <w:ilvl w:val="0"/>
          <w:numId w:val="0"/>
        </w:numPr>
        <w:spacing w:line="500" w:lineRule="exact"/>
        <w:ind w:left="142" w:leftChars="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rPr>
        <w:t>调研内容：</w:t>
      </w:r>
      <w:r>
        <w:rPr>
          <w:rFonts w:hint="eastAsia" w:ascii="宋体" w:hAnsi="宋体" w:eastAsia="宋体" w:cs="宋体"/>
          <w:b/>
          <w:bCs/>
          <w:color w:val="auto"/>
          <w:sz w:val="24"/>
          <w:szCs w:val="24"/>
          <w:highlight w:val="none"/>
          <w:lang w:val="en-US" w:eastAsia="zh-CN"/>
        </w:rPr>
        <w:t>茂名市电白区慢性病防治中心新院区建设项目检测（钢结构、幕墙工程等）服务项目</w:t>
      </w:r>
    </w:p>
    <w:p w14:paraId="7AA61052">
      <w:pPr>
        <w:pStyle w:val="14"/>
        <w:numPr>
          <w:ilvl w:val="0"/>
          <w:numId w:val="0"/>
        </w:numPr>
        <w:spacing w:line="500" w:lineRule="exact"/>
        <w:ind w:left="142" w:leftChars="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调研资格要求</w:t>
      </w:r>
      <w:r>
        <w:rPr>
          <w:rFonts w:hint="eastAsia" w:ascii="宋体" w:hAnsi="宋体" w:eastAsia="宋体" w:cs="宋体"/>
          <w:b/>
          <w:bCs/>
          <w:color w:val="auto"/>
          <w:sz w:val="24"/>
          <w:szCs w:val="24"/>
          <w:highlight w:val="none"/>
          <w:lang w:eastAsia="zh-CN"/>
        </w:rPr>
        <w:t>：</w:t>
      </w:r>
    </w:p>
    <w:p w14:paraId="41B95603">
      <w:pPr>
        <w:pStyle w:val="14"/>
        <w:spacing w:line="5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1.具有独立承担民事责任的能力：在中华人民共和国境内注册的法人或其他组织或自然人， 投标（响应）时提交有效的营业执照（或事业法人登记证或身份证等相关证明） 副本复印件。分支机构投标的，须提供总公司和分公司营业执照副本复印件，总公司出具给分支机构的授权书。</w:t>
      </w:r>
    </w:p>
    <w:p w14:paraId="1A1EC5BC">
      <w:pPr>
        <w:pStyle w:val="14"/>
        <w:spacing w:line="5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供应商须具备建设主管部门颁发的建设工程质量检测机构资质证书，且资质证书在有效期内。供应商检测范围至少含见证取样检测、主体结构工程现场检测、地基基础工程检测、道路工程检测。若已按《建设工程质量检测机构资质标准》（建质规(2023)1号，以下简称新标准）取得新建设工程质量检测机构资质的检测机构，需满足新标准规定具备国家认可综合资质或专项资质（专项资质同时具备建筑材料及构配件、主体结构及装饰装修、地基基础专项资质）。 备注:①如供应商检测机构资质证书的检测项目与上述名称不同，但表达的意思一致也视为满足该项条件。资质证书有效期延续按《住房和城乡建设部办公厅关于做好建设工程质量检测机构新旧资质标准过渡工作的通知》建办质函(2023)100号文规定执行，如旧资质证书有效期延期，须提供相关资质有效期延续的文件材料。（提供证书复印件，并加盖公章）</w:t>
      </w:r>
    </w:p>
    <w:p w14:paraId="11625259">
      <w:pPr>
        <w:pStyle w:val="14"/>
        <w:spacing w:line="500" w:lineRule="exact"/>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本次调研</w:t>
      </w:r>
      <w:r>
        <w:rPr>
          <w:rFonts w:hint="eastAsia" w:ascii="宋体" w:hAnsi="宋体" w:eastAsia="宋体" w:cs="宋体"/>
          <w:color w:val="auto"/>
          <w:sz w:val="24"/>
          <w:szCs w:val="24"/>
          <w:highlight w:val="none"/>
        </w:rPr>
        <w:t>预算</w:t>
      </w:r>
      <w:r>
        <w:rPr>
          <w:rFonts w:hint="eastAsia" w:ascii="宋体" w:hAnsi="宋体" w:eastAsia="宋体" w:cs="宋体"/>
          <w:color w:val="auto"/>
          <w:sz w:val="24"/>
          <w:szCs w:val="24"/>
          <w:highlight w:val="none"/>
          <w:lang w:val="en-US" w:eastAsia="zh-CN"/>
        </w:rPr>
        <w:t>控制价</w:t>
      </w:r>
      <w:r>
        <w:rPr>
          <w:rFonts w:hint="eastAsia" w:ascii="宋体" w:hAnsi="宋体" w:eastAsia="宋体" w:cs="宋体"/>
          <w:color w:val="auto"/>
          <w:sz w:val="24"/>
          <w:szCs w:val="24"/>
          <w:highlight w:val="none"/>
        </w:rPr>
        <w:t>金额：</w:t>
      </w:r>
      <w:r>
        <w:rPr>
          <w:rFonts w:hint="eastAsia" w:ascii="宋体" w:hAnsi="宋体" w:eastAsia="宋体" w:cs="宋体"/>
          <w:color w:val="auto"/>
          <w:sz w:val="24"/>
          <w:szCs w:val="24"/>
          <w:highlight w:val="none"/>
          <w:lang w:eastAsia="zh-CN"/>
        </w:rPr>
        <w:t>806770.00</w:t>
      </w:r>
      <w:r>
        <w:rPr>
          <w:rFonts w:hint="eastAsia" w:ascii="宋体" w:hAnsi="宋体" w:eastAsia="宋体" w:cs="宋体"/>
          <w:color w:val="auto"/>
          <w:sz w:val="24"/>
          <w:szCs w:val="24"/>
          <w:highlight w:val="none"/>
        </w:rPr>
        <w:t>元</w:t>
      </w:r>
    </w:p>
    <w:p w14:paraId="1B840970">
      <w:pPr>
        <w:pStyle w:val="14"/>
        <w:spacing w:line="500" w:lineRule="exact"/>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4．本项目不接受联合体参与调研。</w:t>
      </w:r>
    </w:p>
    <w:p w14:paraId="63E4A6B6">
      <w:pPr>
        <w:pStyle w:val="14"/>
        <w:spacing w:line="5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、本次调研仅作为采购方招标控制价参考的依据，参与本次调研并不代表取得订单。</w:t>
      </w:r>
    </w:p>
    <w:p w14:paraId="71556367">
      <w:pPr>
        <w:pStyle w:val="14"/>
        <w:spacing w:line="500" w:lineRule="exact"/>
        <w:ind w:firstLine="0" w:firstLineChars="0"/>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val="en-US" w:eastAsia="zh-CN"/>
        </w:rPr>
        <w:t>三、</w:t>
      </w:r>
      <w:r>
        <w:rPr>
          <w:rFonts w:hint="eastAsia" w:ascii="宋体" w:hAnsi="宋体" w:eastAsia="宋体" w:cs="宋体"/>
          <w:b/>
          <w:bCs/>
          <w:color w:val="auto"/>
          <w:sz w:val="24"/>
          <w:szCs w:val="24"/>
          <w:highlight w:val="none"/>
        </w:rPr>
        <w:t>调研内容</w:t>
      </w:r>
      <w:r>
        <w:rPr>
          <w:rFonts w:hint="eastAsia" w:ascii="宋体" w:hAnsi="宋体" w:eastAsia="宋体" w:cs="宋体"/>
          <w:b/>
          <w:bCs/>
          <w:color w:val="auto"/>
          <w:sz w:val="24"/>
          <w:szCs w:val="24"/>
          <w:highlight w:val="none"/>
          <w:lang w:eastAsia="zh-CN"/>
        </w:rPr>
        <w:t>：</w:t>
      </w:r>
    </w:p>
    <w:p w14:paraId="0249D5A7">
      <w:pPr>
        <w:pStyle w:val="17"/>
        <w:rPr>
          <w:rFonts w:hint="eastAsia" w:ascii="宋体" w:hAnsi="宋体" w:eastAsia="宋体" w:cs="宋体"/>
          <w:sz w:val="24"/>
          <w:szCs w:val="24"/>
        </w:rPr>
      </w:pPr>
      <w:r>
        <w:rPr>
          <w:rFonts w:hint="eastAsia" w:ascii="宋体" w:hAnsi="宋体" w:eastAsia="宋体" w:cs="宋体"/>
          <w:b/>
          <w:sz w:val="24"/>
          <w:szCs w:val="24"/>
          <w:lang w:val="en-US" w:eastAsia="zh-CN"/>
        </w:rPr>
        <w:t>1.</w:t>
      </w:r>
      <w:r>
        <w:rPr>
          <w:rFonts w:hint="eastAsia" w:ascii="宋体" w:hAnsi="宋体" w:eastAsia="宋体" w:cs="宋体"/>
          <w:b/>
          <w:sz w:val="24"/>
          <w:szCs w:val="24"/>
        </w:rPr>
        <w:t>项目概况：</w:t>
      </w:r>
    </w:p>
    <w:p w14:paraId="00C06A5B">
      <w:pPr>
        <w:pStyle w:val="17"/>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茂名市电白区慢性病防治中心新院区建设项目检测（钢结构、幕墙工程等）服务项目，1项，具体内容详见招标文件及检测清单内容。</w:t>
      </w:r>
    </w:p>
    <w:p w14:paraId="6A9320A8">
      <w:pPr>
        <w:pStyle w:val="17"/>
        <w:rPr>
          <w:rFonts w:hint="eastAsia" w:ascii="宋体" w:hAnsi="宋体" w:eastAsia="宋体" w:cs="宋体"/>
          <w:b w:val="0"/>
          <w:bCs/>
          <w:sz w:val="21"/>
          <w:szCs w:val="21"/>
          <w:lang w:val="en-US" w:eastAsia="zh-CN"/>
        </w:rPr>
      </w:pPr>
    </w:p>
    <w:p w14:paraId="31E788BE">
      <w:pPr>
        <w:pStyle w:val="17"/>
        <w:rPr>
          <w:rFonts w:hint="eastAsia" w:ascii="宋体" w:hAnsi="宋体" w:eastAsia="宋体" w:cs="宋体"/>
          <w:sz w:val="24"/>
          <w:szCs w:val="24"/>
          <w:lang w:val="en-US"/>
        </w:rPr>
      </w:pPr>
      <w:r>
        <w:rPr>
          <w:rFonts w:hint="eastAsia" w:ascii="宋体" w:hAnsi="宋体" w:eastAsia="宋体" w:cs="宋体"/>
          <w:b/>
          <w:sz w:val="24"/>
          <w:szCs w:val="24"/>
          <w:lang w:val="en-US" w:eastAsia="zh-CN"/>
        </w:rPr>
        <w:t>2</w:t>
      </w:r>
      <w:r>
        <w:rPr>
          <w:rFonts w:hint="eastAsia" w:ascii="宋体" w:hAnsi="宋体" w:eastAsia="宋体" w:cs="宋体"/>
          <w:b/>
          <w:sz w:val="24"/>
          <w:szCs w:val="24"/>
        </w:rPr>
        <w:t>.</w:t>
      </w:r>
      <w:r>
        <w:rPr>
          <w:rFonts w:hint="eastAsia" w:ascii="宋体" w:hAnsi="宋体" w:eastAsia="宋体" w:cs="宋体"/>
          <w:b/>
          <w:sz w:val="24"/>
          <w:szCs w:val="24"/>
          <w:lang w:val="en-US" w:eastAsia="zh-CN"/>
        </w:rPr>
        <w:t>采购需求</w:t>
      </w:r>
    </w:p>
    <w:tbl>
      <w:tblPr>
        <w:tblStyle w:val="10"/>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45"/>
        <w:gridCol w:w="7815"/>
      </w:tblGrid>
      <w:tr w14:paraId="7AE870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62" w:hRule="atLeast"/>
        </w:trPr>
        <w:tc>
          <w:tcPr>
            <w:tcW w:w="1845" w:type="dxa"/>
          </w:tcPr>
          <w:p w14:paraId="056AD26E">
            <w:pPr>
              <w:pStyle w:val="17"/>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标的服务周期</w:t>
            </w:r>
          </w:p>
        </w:tc>
        <w:tc>
          <w:tcPr>
            <w:tcW w:w="7815" w:type="dxa"/>
          </w:tcPr>
          <w:p w14:paraId="4C9FBDBB">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工程开始之日起至工程竣工完成后</w:t>
            </w:r>
            <w:r>
              <w:rPr>
                <w:rFonts w:hint="eastAsia" w:ascii="宋体" w:hAnsi="宋体" w:eastAsia="宋体" w:cs="宋体"/>
                <w:sz w:val="21"/>
                <w:szCs w:val="21"/>
                <w:highlight w:val="none"/>
              </w:rPr>
              <w:t>（具体以实际工期为准）。</w:t>
            </w:r>
          </w:p>
        </w:tc>
      </w:tr>
      <w:tr w14:paraId="6E9888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13" w:hRule="atLeast"/>
        </w:trPr>
        <w:tc>
          <w:tcPr>
            <w:tcW w:w="1845" w:type="dxa"/>
          </w:tcPr>
          <w:p w14:paraId="3097F60D">
            <w:pPr>
              <w:pStyle w:val="17"/>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标的</w:t>
            </w:r>
            <w:r>
              <w:rPr>
                <w:rFonts w:hint="eastAsia" w:ascii="宋体" w:hAnsi="宋体" w:eastAsia="宋体" w:cs="宋体"/>
                <w:sz w:val="21"/>
                <w:szCs w:val="21"/>
                <w:highlight w:val="none"/>
                <w:lang w:val="en-US" w:eastAsia="zh-CN"/>
              </w:rPr>
              <w:t>服务地点</w:t>
            </w:r>
          </w:p>
        </w:tc>
        <w:tc>
          <w:tcPr>
            <w:tcW w:w="7815" w:type="dxa"/>
          </w:tcPr>
          <w:p w14:paraId="13E08BED">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采购人指定地点。</w:t>
            </w:r>
          </w:p>
        </w:tc>
      </w:tr>
      <w:tr w14:paraId="489BD5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548" w:hRule="atLeast"/>
        </w:trPr>
        <w:tc>
          <w:tcPr>
            <w:tcW w:w="1845" w:type="dxa"/>
          </w:tcPr>
          <w:p w14:paraId="53A787DA">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付款方式</w:t>
            </w:r>
          </w:p>
        </w:tc>
        <w:tc>
          <w:tcPr>
            <w:tcW w:w="7815" w:type="dxa"/>
          </w:tcPr>
          <w:p w14:paraId="463B99B9">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1期：支付比例80%,（1）按实结算，以</w:t>
            </w:r>
            <w:r>
              <w:rPr>
                <w:rFonts w:hint="eastAsia" w:ascii="宋体" w:hAnsi="宋体" w:eastAsia="宋体" w:cs="宋体"/>
                <w:sz w:val="21"/>
                <w:szCs w:val="21"/>
                <w:highlight w:val="none"/>
                <w:lang w:val="en-US" w:eastAsia="zh-CN"/>
              </w:rPr>
              <w:t>采购人</w:t>
            </w:r>
            <w:r>
              <w:rPr>
                <w:rFonts w:hint="eastAsia" w:ascii="宋体" w:hAnsi="宋体" w:eastAsia="宋体" w:cs="宋体"/>
                <w:sz w:val="21"/>
                <w:szCs w:val="21"/>
                <w:highlight w:val="none"/>
              </w:rPr>
              <w:t>技术服务实际进度(以出报告为准)进行核算；</w:t>
            </w:r>
            <w:r>
              <w:rPr>
                <w:rFonts w:hint="eastAsia" w:ascii="宋体" w:hAnsi="宋体" w:eastAsia="宋体" w:cs="宋体"/>
                <w:sz w:val="21"/>
                <w:szCs w:val="21"/>
                <w:highlight w:val="none"/>
                <w:lang w:val="en-US" w:eastAsia="zh-CN"/>
              </w:rPr>
              <w:t>成交人</w:t>
            </w:r>
            <w:r>
              <w:rPr>
                <w:rFonts w:hint="eastAsia" w:ascii="宋体" w:hAnsi="宋体" w:eastAsia="宋体" w:cs="宋体"/>
                <w:sz w:val="21"/>
                <w:szCs w:val="21"/>
                <w:highlight w:val="none"/>
              </w:rPr>
              <w:t>完成检测工作且提交成果报告（电子版）后，</w:t>
            </w:r>
            <w:r>
              <w:rPr>
                <w:rFonts w:hint="eastAsia" w:ascii="宋体" w:hAnsi="宋体" w:eastAsia="宋体" w:cs="宋体"/>
                <w:sz w:val="21"/>
                <w:szCs w:val="21"/>
                <w:highlight w:val="none"/>
                <w:lang w:val="en-US" w:eastAsia="zh-CN"/>
              </w:rPr>
              <w:t>采购人</w:t>
            </w:r>
            <w:r>
              <w:rPr>
                <w:rFonts w:hint="eastAsia" w:ascii="宋体" w:hAnsi="宋体" w:eastAsia="宋体" w:cs="宋体"/>
                <w:sz w:val="21"/>
                <w:szCs w:val="21"/>
                <w:highlight w:val="none"/>
              </w:rPr>
              <w:t>凭</w:t>
            </w:r>
            <w:r>
              <w:rPr>
                <w:rFonts w:hint="eastAsia" w:ascii="宋体" w:hAnsi="宋体" w:eastAsia="宋体" w:cs="宋体"/>
                <w:sz w:val="21"/>
                <w:szCs w:val="21"/>
                <w:highlight w:val="none"/>
                <w:lang w:val="en-US" w:eastAsia="zh-CN"/>
              </w:rPr>
              <w:t>成交人</w:t>
            </w:r>
            <w:r>
              <w:rPr>
                <w:rFonts w:hint="eastAsia" w:ascii="宋体" w:hAnsi="宋体" w:eastAsia="宋体" w:cs="宋体"/>
                <w:sz w:val="21"/>
                <w:szCs w:val="21"/>
                <w:highlight w:val="none"/>
              </w:rPr>
              <w:t>开具的等额有效发票和付款资料，在财政批复资金到位后10个工作日内支付</w:t>
            </w:r>
            <w:r>
              <w:rPr>
                <w:rFonts w:hint="eastAsia" w:ascii="宋体" w:hAnsi="宋体" w:eastAsia="宋体" w:cs="宋体"/>
                <w:sz w:val="21"/>
                <w:szCs w:val="21"/>
                <w:highlight w:val="none"/>
                <w:lang w:val="en-US" w:eastAsia="zh-CN"/>
              </w:rPr>
              <w:t>成交人</w:t>
            </w:r>
            <w:r>
              <w:rPr>
                <w:rFonts w:hint="eastAsia" w:ascii="宋体" w:hAnsi="宋体" w:eastAsia="宋体" w:cs="宋体"/>
                <w:sz w:val="21"/>
                <w:szCs w:val="21"/>
                <w:highlight w:val="none"/>
              </w:rPr>
              <w:t>已完成检测工作并提交成果报告内容对应检测费的80%，累计支付到合同价80%后停止支付。</w:t>
            </w:r>
            <w:r>
              <w:rPr>
                <w:rFonts w:hint="eastAsia" w:ascii="宋体" w:hAnsi="宋体" w:eastAsia="宋体" w:cs="宋体"/>
                <w:sz w:val="21"/>
                <w:szCs w:val="21"/>
                <w:highlight w:val="none"/>
                <w:lang w:val="en-US" w:eastAsia="zh-CN"/>
              </w:rPr>
              <w:t>采购人</w:t>
            </w:r>
            <w:r>
              <w:rPr>
                <w:rFonts w:hint="eastAsia" w:ascii="宋体" w:hAnsi="宋体" w:eastAsia="宋体" w:cs="宋体"/>
                <w:sz w:val="21"/>
                <w:szCs w:val="21"/>
                <w:highlight w:val="none"/>
              </w:rPr>
              <w:t>支付检测费后</w:t>
            </w:r>
            <w:r>
              <w:rPr>
                <w:rFonts w:hint="eastAsia" w:ascii="宋体" w:hAnsi="宋体" w:eastAsia="宋体" w:cs="宋体"/>
                <w:sz w:val="21"/>
                <w:szCs w:val="21"/>
                <w:highlight w:val="none"/>
                <w:lang w:val="en-US" w:eastAsia="zh-CN"/>
              </w:rPr>
              <w:t>成交人</w:t>
            </w:r>
            <w:r>
              <w:rPr>
                <w:rFonts w:hint="eastAsia" w:ascii="宋体" w:hAnsi="宋体" w:eastAsia="宋体" w:cs="宋体"/>
                <w:sz w:val="21"/>
                <w:szCs w:val="21"/>
                <w:highlight w:val="none"/>
              </w:rPr>
              <w:t>3日内交付成果报告（纸质正式版）。</w:t>
            </w:r>
          </w:p>
          <w:p w14:paraId="16378B34">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2期：支付比例 20%,(1)待工程竣工验收合格，</w:t>
            </w:r>
            <w:r>
              <w:rPr>
                <w:rFonts w:hint="eastAsia" w:ascii="宋体" w:hAnsi="宋体" w:eastAsia="宋体" w:cs="宋体"/>
                <w:sz w:val="21"/>
                <w:szCs w:val="21"/>
                <w:highlight w:val="none"/>
                <w:lang w:val="en-US" w:eastAsia="zh-CN"/>
              </w:rPr>
              <w:t>采购人</w:t>
            </w:r>
            <w:r>
              <w:rPr>
                <w:rFonts w:hint="eastAsia" w:ascii="宋体" w:hAnsi="宋体" w:eastAsia="宋体" w:cs="宋体"/>
                <w:sz w:val="21"/>
                <w:szCs w:val="21"/>
                <w:highlight w:val="none"/>
              </w:rPr>
              <w:t>凭</w:t>
            </w:r>
            <w:r>
              <w:rPr>
                <w:rFonts w:hint="eastAsia" w:ascii="宋体" w:hAnsi="宋体" w:eastAsia="宋体" w:cs="宋体"/>
                <w:sz w:val="21"/>
                <w:szCs w:val="21"/>
                <w:highlight w:val="none"/>
                <w:lang w:val="en-US" w:eastAsia="zh-CN"/>
              </w:rPr>
              <w:t>成交人</w:t>
            </w:r>
            <w:r>
              <w:rPr>
                <w:rFonts w:hint="eastAsia" w:ascii="宋体" w:hAnsi="宋体" w:eastAsia="宋体" w:cs="宋体"/>
                <w:sz w:val="21"/>
                <w:szCs w:val="21"/>
                <w:highlight w:val="none"/>
              </w:rPr>
              <w:t>开具的等额有效发票和付款资料，在财政批复资金到位后 10个工作日内支付余下款项的 20</w:t>
            </w:r>
            <w:r>
              <w:rPr>
                <w:rFonts w:hint="eastAsia" w:ascii="宋体" w:hAnsi="宋体" w:eastAsia="宋体" w:cs="宋体"/>
                <w:color w:val="auto"/>
                <w:sz w:val="21"/>
                <w:szCs w:val="21"/>
                <w:highlight w:val="none"/>
              </w:rPr>
              <w:t>%。但不得超过以区投资审核中心出具的概算审核报告书结合中标下浮率确定的检测服务费;(2)技术服务费用以实际发生的检测工程量结合中标单价进行结算且不得超过以区投资审核中心出县的概算审核报告书结合中标下浮率确定的检测服务费</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zh-CN" w:eastAsia="zh-CN"/>
              </w:rPr>
              <w:t>（注：</w:t>
            </w:r>
            <w:r>
              <w:rPr>
                <w:rFonts w:hint="eastAsia" w:ascii="宋体" w:hAnsi="宋体" w:eastAsia="宋体" w:cs="宋体"/>
                <w:sz w:val="21"/>
                <w:szCs w:val="21"/>
                <w:highlight w:val="none"/>
                <w:lang w:val="en-US" w:eastAsia="zh-CN"/>
              </w:rPr>
              <w:t>以上为暂定付款方式，实际付款方式以双方签订的协议为准。</w:t>
            </w:r>
            <w:r>
              <w:rPr>
                <w:rFonts w:hint="eastAsia" w:ascii="宋体" w:hAnsi="宋体" w:eastAsia="宋体" w:cs="宋体"/>
                <w:sz w:val="21"/>
                <w:szCs w:val="21"/>
                <w:highlight w:val="none"/>
                <w:lang w:val="zh-CN" w:eastAsia="zh-CN"/>
              </w:rPr>
              <w:t>）</w:t>
            </w:r>
          </w:p>
        </w:tc>
      </w:tr>
      <w:tr w14:paraId="7337F7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38" w:hRule="atLeast"/>
        </w:trPr>
        <w:tc>
          <w:tcPr>
            <w:tcW w:w="1845" w:type="dxa"/>
          </w:tcPr>
          <w:p w14:paraId="652D381C">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验收要求</w:t>
            </w:r>
          </w:p>
        </w:tc>
        <w:tc>
          <w:tcPr>
            <w:tcW w:w="7815" w:type="dxa"/>
          </w:tcPr>
          <w:p w14:paraId="16D03C23">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1期：依据国家及行业相关标准进行验收</w:t>
            </w:r>
          </w:p>
        </w:tc>
      </w:tr>
      <w:tr w14:paraId="0D3A61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8" w:hRule="atLeast"/>
        </w:trPr>
        <w:tc>
          <w:tcPr>
            <w:tcW w:w="1845" w:type="dxa"/>
          </w:tcPr>
          <w:p w14:paraId="4EB74F88">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履约保证金</w:t>
            </w:r>
          </w:p>
        </w:tc>
        <w:tc>
          <w:tcPr>
            <w:tcW w:w="7815" w:type="dxa"/>
          </w:tcPr>
          <w:p w14:paraId="52A7CF53">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不收取</w:t>
            </w:r>
          </w:p>
        </w:tc>
      </w:tr>
      <w:tr w14:paraId="40FC68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719" w:hRule="atLeast"/>
        </w:trPr>
        <w:tc>
          <w:tcPr>
            <w:tcW w:w="1845" w:type="dxa"/>
          </w:tcPr>
          <w:p w14:paraId="5DC4ABF8">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报价要求</w:t>
            </w:r>
          </w:p>
        </w:tc>
        <w:tc>
          <w:tcPr>
            <w:tcW w:w="7815" w:type="dxa"/>
          </w:tcPr>
          <w:p w14:paraId="08310FAB">
            <w:pPr>
              <w:pStyle w:val="17"/>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报价要求</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检测费用单价计算依据：</w:t>
            </w:r>
            <w:r>
              <w:rPr>
                <w:rFonts w:hint="eastAsia" w:ascii="宋体" w:hAnsi="宋体" w:eastAsia="宋体" w:cs="宋体"/>
                <w:sz w:val="21"/>
                <w:szCs w:val="21"/>
                <w:highlight w:val="none"/>
                <w:lang w:val="en-US" w:eastAsia="zh-CN"/>
              </w:rPr>
              <w:t>本次投标报价报投标下浮率:A%，投标报价=投标控制价</w:t>
            </w:r>
            <w:r>
              <w:rPr>
                <w:rFonts w:hint="eastAsia" w:ascii="宋体" w:hAnsi="宋体" w:eastAsia="宋体" w:cs="宋体"/>
                <w:sz w:val="21"/>
                <w:szCs w:val="21"/>
                <w:highlight w:val="none"/>
              </w:rPr>
              <w:t>×(1-A</w:t>
            </w:r>
            <w:r>
              <w:rPr>
                <w:rFonts w:hint="eastAsia" w:ascii="宋体" w:hAnsi="宋体" w:eastAsia="宋体" w:cs="宋体"/>
                <w:sz w:val="21"/>
                <w:szCs w:val="21"/>
                <w:highlight w:val="none"/>
                <w:lang w:val="en-US" w:eastAsia="zh-CN"/>
              </w:rPr>
              <w:t>%</w:t>
            </w:r>
            <w:r>
              <w:rPr>
                <w:rFonts w:hint="eastAsia" w:ascii="宋体" w:hAnsi="宋体" w:eastAsia="宋体" w:cs="宋体"/>
                <w:sz w:val="21"/>
                <w:szCs w:val="21"/>
                <w:highlight w:val="none"/>
              </w:rPr>
              <w:t>)</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投标人的投标报价不得超过投标控制价，</w:t>
            </w:r>
            <w:r>
              <w:rPr>
                <w:rFonts w:hint="eastAsia" w:ascii="宋体" w:hAnsi="宋体" w:eastAsia="宋体" w:cs="宋体"/>
                <w:sz w:val="21"/>
                <w:szCs w:val="21"/>
                <w:highlight w:val="none"/>
              </w:rPr>
              <w:t>超出</w:t>
            </w:r>
            <w:r>
              <w:rPr>
                <w:rFonts w:hint="eastAsia" w:ascii="宋体" w:hAnsi="宋体" w:eastAsia="宋体" w:cs="宋体"/>
                <w:sz w:val="21"/>
                <w:szCs w:val="21"/>
                <w:highlight w:val="none"/>
                <w:lang w:val="en-US" w:eastAsia="zh-CN"/>
              </w:rPr>
              <w:t>控制价</w:t>
            </w:r>
            <w:r>
              <w:rPr>
                <w:rFonts w:hint="eastAsia" w:ascii="宋体" w:hAnsi="宋体" w:eastAsia="宋体" w:cs="宋体"/>
                <w:sz w:val="21"/>
                <w:szCs w:val="21"/>
                <w:highlight w:val="none"/>
              </w:rPr>
              <w:t>范围，</w:t>
            </w:r>
            <w:r>
              <w:rPr>
                <w:rFonts w:hint="eastAsia" w:ascii="宋体" w:hAnsi="宋体" w:eastAsia="宋体" w:cs="宋体"/>
                <w:sz w:val="21"/>
                <w:szCs w:val="21"/>
                <w:highlight w:val="none"/>
                <w:lang w:val="en-US" w:eastAsia="zh-CN"/>
              </w:rPr>
              <w:t>视为</w:t>
            </w:r>
            <w:r>
              <w:rPr>
                <w:rFonts w:hint="eastAsia" w:ascii="宋体" w:hAnsi="宋体" w:eastAsia="宋体" w:cs="宋体"/>
                <w:sz w:val="21"/>
                <w:szCs w:val="21"/>
                <w:highlight w:val="none"/>
              </w:rPr>
              <w:t>无效报价。</w:t>
            </w:r>
          </w:p>
        </w:tc>
      </w:tr>
    </w:tbl>
    <w:p w14:paraId="5EEF787B">
      <w:pPr>
        <w:pStyle w:val="17"/>
        <w:rPr>
          <w:rFonts w:hint="eastAsia" w:ascii="宋体" w:hAnsi="宋体" w:eastAsia="宋体" w:cs="宋体"/>
          <w:sz w:val="21"/>
          <w:szCs w:val="21"/>
        </w:rPr>
      </w:pPr>
    </w:p>
    <w:p w14:paraId="23CB929D">
      <w:pPr>
        <w:pStyle w:val="17"/>
        <w:rPr>
          <w:rFonts w:hint="eastAsia" w:ascii="宋体" w:hAnsi="宋体" w:eastAsia="宋体" w:cs="宋体"/>
          <w:sz w:val="21"/>
          <w:szCs w:val="21"/>
        </w:rPr>
      </w:pPr>
    </w:p>
    <w:p w14:paraId="4250461C">
      <w:pPr>
        <w:pStyle w:val="17"/>
        <w:rPr>
          <w:rFonts w:hint="eastAsia" w:ascii="宋体" w:hAnsi="宋体" w:eastAsia="宋体" w:cs="宋体"/>
          <w:sz w:val="21"/>
          <w:szCs w:val="21"/>
        </w:rPr>
      </w:pPr>
      <w:r>
        <w:rPr>
          <w:rFonts w:hint="eastAsia" w:ascii="宋体" w:hAnsi="宋体" w:eastAsia="宋体" w:cs="宋体"/>
          <w:sz w:val="21"/>
          <w:szCs w:val="21"/>
        </w:rPr>
        <w:t>其他</w:t>
      </w:r>
      <w:r>
        <w:rPr>
          <w:rFonts w:hint="eastAsia" w:ascii="宋体" w:hAnsi="宋体" w:eastAsia="宋体" w:cs="宋体"/>
          <w:sz w:val="21"/>
          <w:szCs w:val="21"/>
          <w:lang w:val="en-US" w:eastAsia="zh-CN"/>
        </w:rPr>
        <w:t>采购</w:t>
      </w:r>
      <w:r>
        <w:rPr>
          <w:rFonts w:hint="eastAsia" w:ascii="宋体" w:hAnsi="宋体" w:eastAsia="宋体" w:cs="宋体"/>
          <w:sz w:val="21"/>
          <w:szCs w:val="21"/>
        </w:rPr>
        <w:t>需求</w:t>
      </w:r>
    </w:p>
    <w:tbl>
      <w:tblPr>
        <w:tblStyle w:val="10"/>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33"/>
        <w:gridCol w:w="885"/>
        <w:gridCol w:w="1497"/>
        <w:gridCol w:w="6099"/>
        <w:gridCol w:w="6"/>
      </w:tblGrid>
      <w:tr w14:paraId="6764F0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6" w:type="dxa"/>
          <w:trHeight w:val="326" w:hRule="atLeast"/>
        </w:trPr>
        <w:tc>
          <w:tcPr>
            <w:tcW w:w="1233" w:type="dxa"/>
          </w:tcPr>
          <w:p w14:paraId="3C8D71EA">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参数性质</w:t>
            </w:r>
          </w:p>
        </w:tc>
        <w:tc>
          <w:tcPr>
            <w:tcW w:w="885" w:type="dxa"/>
          </w:tcPr>
          <w:p w14:paraId="1697ED9C">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编号</w:t>
            </w:r>
          </w:p>
        </w:tc>
        <w:tc>
          <w:tcPr>
            <w:tcW w:w="1497" w:type="dxa"/>
          </w:tcPr>
          <w:p w14:paraId="1F056156">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内容明细</w:t>
            </w:r>
          </w:p>
        </w:tc>
        <w:tc>
          <w:tcPr>
            <w:tcW w:w="6099" w:type="dxa"/>
          </w:tcPr>
          <w:p w14:paraId="594FFF06">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内容说明</w:t>
            </w:r>
          </w:p>
        </w:tc>
      </w:tr>
      <w:tr w14:paraId="3EBD73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6" w:type="dxa"/>
          <w:trHeight w:val="1887" w:hRule="atLeast"/>
        </w:trPr>
        <w:tc>
          <w:tcPr>
            <w:tcW w:w="1233" w:type="dxa"/>
          </w:tcPr>
          <w:p w14:paraId="7F4B53C3">
            <w:pPr>
              <w:rPr>
                <w:rFonts w:hint="eastAsia" w:ascii="宋体" w:hAnsi="宋体" w:eastAsia="宋体" w:cs="宋体"/>
                <w:sz w:val="21"/>
                <w:szCs w:val="21"/>
                <w:highlight w:val="none"/>
              </w:rPr>
            </w:pPr>
          </w:p>
        </w:tc>
        <w:tc>
          <w:tcPr>
            <w:tcW w:w="885" w:type="dxa"/>
          </w:tcPr>
          <w:p w14:paraId="297AFE31">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1497" w:type="dxa"/>
          </w:tcPr>
          <w:p w14:paraId="622B544D">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费用计算方式</w:t>
            </w:r>
          </w:p>
        </w:tc>
        <w:tc>
          <w:tcPr>
            <w:tcW w:w="6099" w:type="dxa"/>
          </w:tcPr>
          <w:p w14:paraId="28C44335">
            <w:pPr>
              <w:pStyle w:val="17"/>
              <w:jc w:val="left"/>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检测费用的计算方式为：按实结算。检测单价依据《广东省房屋建筑和市政工程质量安全检测收费指导价（第一批）》和《广东省既有房屋建筑安全性鉴定收费指导价》、粤建检协【2015】8号文结合中标下浮率确定，最终检测费要以区投资审核中心出具的概算审核报告书结合中标下浮率确定</w:t>
            </w:r>
            <w:r>
              <w:rPr>
                <w:rFonts w:hint="eastAsia" w:ascii="宋体" w:hAnsi="宋体" w:eastAsia="宋体" w:cs="宋体"/>
                <w:sz w:val="21"/>
                <w:szCs w:val="21"/>
                <w:highlight w:val="none"/>
                <w:lang w:eastAsia="zh-CN"/>
              </w:rPr>
              <w:t>。</w:t>
            </w:r>
          </w:p>
        </w:tc>
      </w:tr>
      <w:tr w14:paraId="51098D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6" w:type="dxa"/>
          <w:trHeight w:val="90" w:hRule="atLeast"/>
        </w:trPr>
        <w:tc>
          <w:tcPr>
            <w:tcW w:w="1233" w:type="dxa"/>
          </w:tcPr>
          <w:p w14:paraId="115F1D91">
            <w:pPr>
              <w:rPr>
                <w:rFonts w:hint="eastAsia" w:ascii="宋体" w:hAnsi="宋体" w:eastAsia="宋体" w:cs="宋体"/>
                <w:sz w:val="21"/>
                <w:szCs w:val="21"/>
                <w:highlight w:val="none"/>
              </w:rPr>
            </w:pPr>
          </w:p>
        </w:tc>
        <w:tc>
          <w:tcPr>
            <w:tcW w:w="885" w:type="dxa"/>
          </w:tcPr>
          <w:p w14:paraId="71424450">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1497" w:type="dxa"/>
          </w:tcPr>
          <w:p w14:paraId="3C35DA10">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服务要求</w:t>
            </w:r>
          </w:p>
        </w:tc>
        <w:tc>
          <w:tcPr>
            <w:tcW w:w="6099" w:type="dxa"/>
          </w:tcPr>
          <w:p w14:paraId="6F1B61E3">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1、</w:t>
            </w:r>
            <w:r>
              <w:rPr>
                <w:rFonts w:hint="eastAsia" w:ascii="宋体" w:hAnsi="宋体" w:eastAsia="宋体" w:cs="宋体"/>
                <w:sz w:val="21"/>
                <w:szCs w:val="21"/>
                <w:highlight w:val="none"/>
                <w:lang w:val="en-US" w:eastAsia="zh-CN"/>
              </w:rPr>
              <w:t>中标</w:t>
            </w:r>
            <w:r>
              <w:rPr>
                <w:rFonts w:hint="eastAsia" w:ascii="宋体" w:hAnsi="宋体" w:eastAsia="宋体" w:cs="宋体"/>
                <w:sz w:val="21"/>
                <w:szCs w:val="21"/>
                <w:highlight w:val="none"/>
              </w:rPr>
              <w:t>单位</w:t>
            </w:r>
            <w:r>
              <w:rPr>
                <w:rFonts w:hint="eastAsia" w:ascii="宋体" w:hAnsi="宋体" w:eastAsia="宋体" w:cs="宋体"/>
                <w:sz w:val="21"/>
                <w:szCs w:val="21"/>
                <w:highlight w:val="none"/>
                <w:lang w:val="en-US" w:eastAsia="zh-CN"/>
              </w:rPr>
              <w:t>负责本项目的</w:t>
            </w:r>
            <w:r>
              <w:rPr>
                <w:rFonts w:hint="eastAsia" w:ascii="宋体" w:hAnsi="宋体" w:eastAsia="宋体" w:cs="宋体"/>
                <w:sz w:val="21"/>
                <w:szCs w:val="21"/>
                <w:highlight w:val="none"/>
                <w:lang w:eastAsia="zh-CN"/>
              </w:rPr>
              <w:t>检测服务</w:t>
            </w:r>
            <w:r>
              <w:rPr>
                <w:rFonts w:hint="eastAsia" w:ascii="宋体" w:hAnsi="宋体" w:eastAsia="宋体" w:cs="宋体"/>
                <w:sz w:val="21"/>
                <w:szCs w:val="21"/>
                <w:highlight w:val="none"/>
              </w:rPr>
              <w:t>。</w:t>
            </w:r>
          </w:p>
          <w:p w14:paraId="5B8D1471">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2、投标人必须对本服务项目整体进行投标，且要提供完整的技术服务资料，中标后不得将本次检测技术服务转包或分包给其他服务供应商。  </w:t>
            </w:r>
          </w:p>
          <w:p w14:paraId="4C6F0FA8">
            <w:pPr>
              <w:pStyle w:val="17"/>
              <w:jc w:val="left"/>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rPr>
              <w:t>、中标单位</w:t>
            </w:r>
            <w:r>
              <w:rPr>
                <w:rFonts w:hint="eastAsia" w:ascii="宋体" w:hAnsi="宋体" w:eastAsia="宋体" w:cs="宋体"/>
                <w:sz w:val="21"/>
                <w:szCs w:val="21"/>
                <w:highlight w:val="none"/>
                <w:lang w:val="en-US" w:eastAsia="zh-CN"/>
              </w:rPr>
              <w:t>在</w:t>
            </w:r>
            <w:r>
              <w:rPr>
                <w:rFonts w:hint="eastAsia" w:ascii="宋体" w:hAnsi="宋体" w:eastAsia="宋体" w:cs="宋体"/>
                <w:sz w:val="21"/>
                <w:szCs w:val="21"/>
                <w:highlight w:val="none"/>
              </w:rPr>
              <w:t>服务期内收到采购人紧急情况通知后，2小时内到达现场处理</w:t>
            </w:r>
            <w:r>
              <w:rPr>
                <w:rFonts w:hint="eastAsia" w:ascii="宋体" w:hAnsi="宋体" w:eastAsia="宋体" w:cs="宋体"/>
                <w:sz w:val="21"/>
                <w:szCs w:val="21"/>
                <w:highlight w:val="none"/>
                <w:lang w:eastAsia="zh-CN"/>
              </w:rPr>
              <w:t>。</w:t>
            </w:r>
          </w:p>
          <w:p w14:paraId="73A25D90">
            <w:pPr>
              <w:pStyle w:val="17"/>
              <w:jc w:val="left"/>
              <w:rPr>
                <w:rFonts w:hint="eastAsia" w:ascii="宋体" w:hAnsi="宋体" w:eastAsia="宋体" w:cs="宋体"/>
                <w:sz w:val="21"/>
                <w:szCs w:val="21"/>
                <w:highlight w:val="none"/>
                <w:lang w:eastAsia="zh-CN"/>
              </w:rPr>
            </w:pPr>
          </w:p>
        </w:tc>
      </w:tr>
      <w:tr w14:paraId="4EBFA0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6" w:type="dxa"/>
          <w:trHeight w:val="1277" w:hRule="atLeast"/>
        </w:trPr>
        <w:tc>
          <w:tcPr>
            <w:tcW w:w="1233" w:type="dxa"/>
          </w:tcPr>
          <w:p w14:paraId="6A0AF99E">
            <w:pPr>
              <w:rPr>
                <w:rFonts w:hint="eastAsia" w:ascii="宋体" w:hAnsi="宋体" w:eastAsia="宋体" w:cs="宋体"/>
                <w:sz w:val="21"/>
                <w:szCs w:val="21"/>
              </w:rPr>
            </w:pPr>
          </w:p>
        </w:tc>
        <w:tc>
          <w:tcPr>
            <w:tcW w:w="885" w:type="dxa"/>
          </w:tcPr>
          <w:p w14:paraId="132E2303">
            <w:pPr>
              <w:pStyle w:val="17"/>
              <w:jc w:val="center"/>
              <w:rPr>
                <w:rFonts w:hint="eastAsia" w:ascii="宋体" w:hAnsi="宋体" w:eastAsia="宋体" w:cs="宋体"/>
                <w:sz w:val="21"/>
                <w:szCs w:val="21"/>
              </w:rPr>
            </w:pPr>
            <w:r>
              <w:rPr>
                <w:rFonts w:hint="eastAsia" w:ascii="宋体" w:hAnsi="宋体" w:eastAsia="宋体" w:cs="宋体"/>
                <w:sz w:val="21"/>
                <w:szCs w:val="21"/>
              </w:rPr>
              <w:t>3</w:t>
            </w:r>
          </w:p>
        </w:tc>
        <w:tc>
          <w:tcPr>
            <w:tcW w:w="1497" w:type="dxa"/>
          </w:tcPr>
          <w:p w14:paraId="5599A951">
            <w:pPr>
              <w:pStyle w:val="17"/>
              <w:jc w:val="left"/>
              <w:rPr>
                <w:rFonts w:hint="eastAsia" w:ascii="宋体" w:hAnsi="宋体" w:eastAsia="宋体" w:cs="宋体"/>
                <w:sz w:val="21"/>
                <w:szCs w:val="21"/>
              </w:rPr>
            </w:pPr>
            <w:r>
              <w:rPr>
                <w:rFonts w:hint="eastAsia" w:ascii="宋体" w:hAnsi="宋体" w:eastAsia="宋体" w:cs="宋体"/>
                <w:sz w:val="21"/>
                <w:szCs w:val="21"/>
              </w:rPr>
              <w:t>报价要求</w:t>
            </w:r>
          </w:p>
        </w:tc>
        <w:tc>
          <w:tcPr>
            <w:tcW w:w="6099" w:type="dxa"/>
          </w:tcPr>
          <w:p w14:paraId="1E0FB6D3">
            <w:pPr>
              <w:pStyle w:val="17"/>
              <w:jc w:val="left"/>
              <w:rPr>
                <w:rFonts w:hint="eastAsia" w:ascii="宋体" w:hAnsi="宋体" w:eastAsia="宋体" w:cs="宋体"/>
                <w:sz w:val="21"/>
                <w:szCs w:val="21"/>
              </w:rPr>
            </w:pPr>
            <w:r>
              <w:rPr>
                <w:rFonts w:hint="eastAsia" w:ascii="宋体" w:hAnsi="宋体" w:eastAsia="宋体" w:cs="宋体"/>
                <w:sz w:val="21"/>
                <w:szCs w:val="21"/>
              </w:rPr>
              <w:t>检测费用单价计算依据：</w:t>
            </w:r>
            <w:r>
              <w:rPr>
                <w:rFonts w:hint="eastAsia" w:ascii="宋体" w:hAnsi="宋体" w:eastAsia="宋体" w:cs="宋体"/>
                <w:sz w:val="21"/>
                <w:szCs w:val="21"/>
                <w:lang w:val="en-US" w:eastAsia="zh-CN"/>
              </w:rPr>
              <w:t>本次投标报价报投标下浮率:A%，投标报价=投标控制价</w:t>
            </w:r>
            <w:r>
              <w:rPr>
                <w:rFonts w:hint="eastAsia" w:ascii="宋体" w:hAnsi="宋体" w:eastAsia="宋体" w:cs="宋体"/>
                <w:sz w:val="21"/>
                <w:szCs w:val="21"/>
              </w:rPr>
              <w:t>×(1-A</w:t>
            </w:r>
            <w:r>
              <w:rPr>
                <w:rFonts w:hint="eastAsia" w:ascii="宋体" w:hAnsi="宋体" w:eastAsia="宋体" w:cs="宋体"/>
                <w:sz w:val="21"/>
                <w:szCs w:val="21"/>
                <w:lang w:val="en-US" w:eastAsia="zh-CN"/>
              </w:rPr>
              <w:t>%</w:t>
            </w:r>
            <w:r>
              <w:rPr>
                <w:rFonts w:hint="eastAsia" w:ascii="宋体" w:hAnsi="宋体" w:eastAsia="宋体" w:cs="宋体"/>
                <w:sz w:val="21"/>
                <w:szCs w:val="21"/>
              </w:rPr>
              <w:t>)</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投标人的投标报价不得超过投标控制价，</w:t>
            </w:r>
            <w:r>
              <w:rPr>
                <w:rFonts w:hint="eastAsia" w:ascii="宋体" w:hAnsi="宋体" w:eastAsia="宋体" w:cs="宋体"/>
                <w:sz w:val="21"/>
                <w:szCs w:val="21"/>
              </w:rPr>
              <w:t>超出</w:t>
            </w:r>
            <w:r>
              <w:rPr>
                <w:rFonts w:hint="eastAsia" w:ascii="宋体" w:hAnsi="宋体" w:eastAsia="宋体" w:cs="宋体"/>
                <w:sz w:val="21"/>
                <w:szCs w:val="21"/>
                <w:lang w:val="en-US" w:eastAsia="zh-CN"/>
              </w:rPr>
              <w:t>控制价</w:t>
            </w:r>
            <w:r>
              <w:rPr>
                <w:rFonts w:hint="eastAsia" w:ascii="宋体" w:hAnsi="宋体" w:eastAsia="宋体" w:cs="宋体"/>
                <w:sz w:val="21"/>
                <w:szCs w:val="21"/>
              </w:rPr>
              <w:t>范围，</w:t>
            </w:r>
            <w:r>
              <w:rPr>
                <w:rFonts w:hint="eastAsia" w:ascii="宋体" w:hAnsi="宋体" w:eastAsia="宋体" w:cs="宋体"/>
                <w:sz w:val="21"/>
                <w:szCs w:val="21"/>
                <w:lang w:val="en-US" w:eastAsia="zh-CN"/>
              </w:rPr>
              <w:t>视为</w:t>
            </w:r>
            <w:r>
              <w:rPr>
                <w:rFonts w:hint="eastAsia" w:ascii="宋体" w:hAnsi="宋体" w:eastAsia="宋体" w:cs="宋体"/>
                <w:sz w:val="21"/>
                <w:szCs w:val="21"/>
              </w:rPr>
              <w:t>无效报价。</w:t>
            </w:r>
          </w:p>
        </w:tc>
      </w:tr>
      <w:tr w14:paraId="06FD78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603" w:hRule="atLeast"/>
        </w:trPr>
        <w:tc>
          <w:tcPr>
            <w:tcW w:w="2118" w:type="dxa"/>
            <w:gridSpan w:val="2"/>
          </w:tcPr>
          <w:p w14:paraId="6F16982A">
            <w:pPr>
              <w:pStyle w:val="17"/>
              <w:rPr>
                <w:rFonts w:hint="eastAsia" w:ascii="宋体" w:hAnsi="宋体" w:eastAsia="宋体" w:cs="宋体"/>
                <w:sz w:val="21"/>
                <w:szCs w:val="21"/>
              </w:rPr>
            </w:pPr>
            <w:r>
              <w:rPr>
                <w:rFonts w:hint="eastAsia" w:ascii="宋体" w:hAnsi="宋体" w:eastAsia="宋体" w:cs="宋体"/>
                <w:sz w:val="21"/>
                <w:szCs w:val="21"/>
              </w:rPr>
              <w:t>说明</w:t>
            </w:r>
          </w:p>
        </w:tc>
        <w:tc>
          <w:tcPr>
            <w:tcW w:w="7602" w:type="dxa"/>
            <w:gridSpan w:val="3"/>
          </w:tcPr>
          <w:p w14:paraId="0D1B58B8">
            <w:pPr>
              <w:pStyle w:val="17"/>
              <w:jc w:val="left"/>
              <w:rPr>
                <w:rFonts w:hint="eastAsia" w:ascii="宋体" w:hAnsi="宋体" w:eastAsia="宋体" w:cs="宋体"/>
                <w:sz w:val="21"/>
                <w:szCs w:val="21"/>
              </w:rPr>
            </w:pPr>
            <w:r>
              <w:rPr>
                <w:rFonts w:hint="eastAsia" w:ascii="宋体" w:hAnsi="宋体" w:eastAsia="宋体" w:cs="宋体"/>
                <w:sz w:val="21"/>
                <w:szCs w:val="21"/>
              </w:rPr>
              <w:t xml:space="preserve"> 打“★”号条款为实质性条款，若有任何一条负偏离或不满足则导致投标（响应）无效。 </w:t>
            </w:r>
            <w:r>
              <w:rPr>
                <w:rFonts w:hint="eastAsia" w:ascii="宋体" w:hAnsi="宋体" w:eastAsia="宋体" w:cs="宋体"/>
                <w:sz w:val="21"/>
                <w:szCs w:val="21"/>
              </w:rPr>
              <w:br w:type="textWrapping"/>
            </w:r>
            <w:r>
              <w:rPr>
                <w:rFonts w:hint="eastAsia" w:ascii="宋体" w:hAnsi="宋体" w:eastAsia="宋体" w:cs="宋体"/>
                <w:sz w:val="21"/>
                <w:szCs w:val="21"/>
              </w:rPr>
              <w:t>打“▲”号条款为重要参数（如有），若有部分“▲”条款未响应或不满足，将根据评审要求影响其得分，但不作为无效投标（响应）条款。</w:t>
            </w:r>
          </w:p>
        </w:tc>
      </w:tr>
    </w:tbl>
    <w:p w14:paraId="154F6506">
      <w:pPr>
        <w:pStyle w:val="17"/>
        <w:rPr>
          <w:rFonts w:hint="eastAsia" w:ascii="宋体" w:hAnsi="宋体" w:eastAsia="宋体" w:cs="宋体"/>
          <w:b/>
          <w:sz w:val="21"/>
          <w:szCs w:val="21"/>
        </w:rPr>
      </w:pPr>
    </w:p>
    <w:p w14:paraId="7BA85399">
      <w:pPr>
        <w:pStyle w:val="17"/>
        <w:rPr>
          <w:rFonts w:hint="eastAsia" w:ascii="宋体" w:hAnsi="宋体" w:eastAsia="宋体" w:cs="宋体"/>
          <w:sz w:val="21"/>
          <w:szCs w:val="21"/>
        </w:rPr>
      </w:pPr>
      <w:r>
        <w:rPr>
          <w:rFonts w:hint="eastAsia" w:ascii="宋体" w:hAnsi="宋体" w:eastAsia="宋体" w:cs="宋体"/>
          <w:b/>
          <w:sz w:val="21"/>
          <w:szCs w:val="21"/>
          <w:lang w:val="en-US" w:eastAsia="zh-CN"/>
        </w:rPr>
        <w:t>3</w:t>
      </w:r>
      <w:r>
        <w:rPr>
          <w:rFonts w:hint="eastAsia" w:ascii="宋体" w:hAnsi="宋体" w:eastAsia="宋体" w:cs="宋体"/>
          <w:b/>
          <w:sz w:val="21"/>
          <w:szCs w:val="21"/>
        </w:rPr>
        <w:t>.技术标准与要求</w:t>
      </w:r>
    </w:p>
    <w:tbl>
      <w:tblPr>
        <w:tblStyle w:val="10"/>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05"/>
        <w:gridCol w:w="1080"/>
        <w:gridCol w:w="2085"/>
        <w:gridCol w:w="540"/>
        <w:gridCol w:w="636"/>
        <w:gridCol w:w="1381"/>
        <w:gridCol w:w="1381"/>
        <w:gridCol w:w="907"/>
        <w:gridCol w:w="1008"/>
      </w:tblGrid>
      <w:tr w14:paraId="17910C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10" w:hRule="atLeast"/>
        </w:trPr>
        <w:tc>
          <w:tcPr>
            <w:tcW w:w="705" w:type="dxa"/>
          </w:tcPr>
          <w:p w14:paraId="3F0EDA8A">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1080" w:type="dxa"/>
          </w:tcPr>
          <w:p w14:paraId="2B189796">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品目名称</w:t>
            </w:r>
          </w:p>
        </w:tc>
        <w:tc>
          <w:tcPr>
            <w:tcW w:w="2085" w:type="dxa"/>
          </w:tcPr>
          <w:p w14:paraId="3DFF1ABE">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标的名称</w:t>
            </w:r>
          </w:p>
        </w:tc>
        <w:tc>
          <w:tcPr>
            <w:tcW w:w="540" w:type="dxa"/>
          </w:tcPr>
          <w:p w14:paraId="50A34D63">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单位</w:t>
            </w:r>
          </w:p>
        </w:tc>
        <w:tc>
          <w:tcPr>
            <w:tcW w:w="630" w:type="dxa"/>
          </w:tcPr>
          <w:p w14:paraId="775D9314">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数量</w:t>
            </w:r>
          </w:p>
        </w:tc>
        <w:tc>
          <w:tcPr>
            <w:tcW w:w="1381" w:type="dxa"/>
          </w:tcPr>
          <w:p w14:paraId="680E3A40">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分项预算单价（元）</w:t>
            </w:r>
          </w:p>
        </w:tc>
        <w:tc>
          <w:tcPr>
            <w:tcW w:w="1381" w:type="dxa"/>
          </w:tcPr>
          <w:p w14:paraId="32F25F67">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分项预算总价（元）</w:t>
            </w:r>
          </w:p>
        </w:tc>
        <w:tc>
          <w:tcPr>
            <w:tcW w:w="907" w:type="dxa"/>
          </w:tcPr>
          <w:p w14:paraId="6642EF07">
            <w:pPr>
              <w:pStyle w:val="17"/>
              <w:rPr>
                <w:rFonts w:hint="eastAsia" w:ascii="宋体" w:hAnsi="宋体" w:eastAsia="宋体" w:cs="宋体"/>
                <w:sz w:val="21"/>
                <w:szCs w:val="21"/>
                <w:highlight w:val="none"/>
              </w:rPr>
            </w:pPr>
            <w:r>
              <w:rPr>
                <w:rFonts w:hint="eastAsia" w:ascii="宋体" w:hAnsi="宋体" w:eastAsia="宋体" w:cs="宋体"/>
                <w:sz w:val="21"/>
                <w:szCs w:val="21"/>
                <w:highlight w:val="none"/>
              </w:rPr>
              <w:t>所属行业</w:t>
            </w:r>
          </w:p>
        </w:tc>
        <w:tc>
          <w:tcPr>
            <w:tcW w:w="1008" w:type="dxa"/>
          </w:tcPr>
          <w:p w14:paraId="13463380">
            <w:pPr>
              <w:pStyle w:val="17"/>
              <w:jc w:val="center"/>
              <w:rPr>
                <w:rFonts w:hint="eastAsia" w:ascii="宋体" w:hAnsi="宋体" w:eastAsia="宋体" w:cs="宋体"/>
                <w:sz w:val="21"/>
                <w:szCs w:val="21"/>
              </w:rPr>
            </w:pPr>
            <w:r>
              <w:rPr>
                <w:rFonts w:hint="eastAsia" w:ascii="宋体" w:hAnsi="宋体" w:eastAsia="宋体" w:cs="宋体"/>
                <w:sz w:val="21"/>
                <w:szCs w:val="21"/>
              </w:rPr>
              <w:t>技术要求</w:t>
            </w:r>
          </w:p>
        </w:tc>
      </w:tr>
      <w:tr w14:paraId="30FE78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719" w:hRule="atLeast"/>
        </w:trPr>
        <w:tc>
          <w:tcPr>
            <w:tcW w:w="705" w:type="dxa"/>
            <w:vAlign w:val="top"/>
          </w:tcPr>
          <w:p w14:paraId="04661352">
            <w:pPr>
              <w:pStyle w:val="17"/>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1080" w:type="dxa"/>
            <w:vAlign w:val="top"/>
          </w:tcPr>
          <w:p w14:paraId="0B8D97C5">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其他服务</w:t>
            </w:r>
          </w:p>
        </w:tc>
        <w:tc>
          <w:tcPr>
            <w:tcW w:w="2085" w:type="dxa"/>
            <w:vAlign w:val="top"/>
          </w:tcPr>
          <w:p w14:paraId="4B2C83C1">
            <w:pPr>
              <w:pStyle w:val="17"/>
              <w:jc w:val="left"/>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茂名市电白区慢性病防治中心新院区建设项目检测（钢结构、幕墙工程等）服务项目</w:t>
            </w:r>
          </w:p>
        </w:tc>
        <w:tc>
          <w:tcPr>
            <w:tcW w:w="540" w:type="dxa"/>
            <w:vAlign w:val="top"/>
          </w:tcPr>
          <w:p w14:paraId="1410484C">
            <w:pPr>
              <w:pStyle w:val="17"/>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项</w:t>
            </w:r>
          </w:p>
        </w:tc>
        <w:tc>
          <w:tcPr>
            <w:tcW w:w="630" w:type="dxa"/>
            <w:vAlign w:val="top"/>
          </w:tcPr>
          <w:p w14:paraId="597B27BC">
            <w:pPr>
              <w:pStyle w:val="17"/>
              <w:jc w:val="right"/>
              <w:rPr>
                <w:rFonts w:hint="eastAsia" w:ascii="宋体" w:hAnsi="宋体" w:eastAsia="宋体" w:cs="宋体"/>
                <w:sz w:val="21"/>
                <w:szCs w:val="21"/>
                <w:highlight w:val="none"/>
              </w:rPr>
            </w:pPr>
            <w:r>
              <w:rPr>
                <w:rFonts w:hint="eastAsia" w:ascii="宋体" w:hAnsi="宋体" w:eastAsia="宋体" w:cs="宋体"/>
                <w:sz w:val="21"/>
                <w:szCs w:val="21"/>
                <w:highlight w:val="none"/>
              </w:rPr>
              <w:t>1.00</w:t>
            </w:r>
          </w:p>
        </w:tc>
        <w:tc>
          <w:tcPr>
            <w:tcW w:w="1381" w:type="dxa"/>
            <w:vAlign w:val="top"/>
          </w:tcPr>
          <w:p w14:paraId="7CCCAFB4">
            <w:pPr>
              <w:pStyle w:val="17"/>
              <w:jc w:val="right"/>
              <w:rPr>
                <w:rFonts w:hint="eastAsia" w:ascii="宋体" w:hAnsi="宋体" w:eastAsia="宋体" w:cs="宋体"/>
                <w:sz w:val="21"/>
                <w:szCs w:val="21"/>
                <w:highlight w:val="none"/>
              </w:rPr>
            </w:pPr>
            <w:r>
              <w:rPr>
                <w:rFonts w:hint="eastAsia" w:ascii="宋体" w:hAnsi="宋体" w:eastAsia="宋体" w:cs="宋体"/>
                <w:sz w:val="21"/>
                <w:szCs w:val="21"/>
                <w:highlight w:val="none"/>
                <w:lang w:eastAsia="zh-CN"/>
              </w:rPr>
              <w:t>806770.00</w:t>
            </w:r>
          </w:p>
        </w:tc>
        <w:tc>
          <w:tcPr>
            <w:tcW w:w="1381" w:type="dxa"/>
            <w:vAlign w:val="top"/>
          </w:tcPr>
          <w:p w14:paraId="2DE9762D">
            <w:pPr>
              <w:pStyle w:val="17"/>
              <w:jc w:val="right"/>
              <w:rPr>
                <w:rFonts w:hint="eastAsia" w:ascii="宋体" w:hAnsi="宋体" w:eastAsia="宋体" w:cs="宋体"/>
                <w:sz w:val="21"/>
                <w:szCs w:val="21"/>
                <w:highlight w:val="none"/>
              </w:rPr>
            </w:pPr>
            <w:r>
              <w:rPr>
                <w:rFonts w:hint="eastAsia" w:ascii="宋体" w:hAnsi="宋体" w:eastAsia="宋体" w:cs="宋体"/>
                <w:sz w:val="21"/>
                <w:szCs w:val="21"/>
                <w:highlight w:val="none"/>
                <w:lang w:eastAsia="zh-CN"/>
              </w:rPr>
              <w:t>806770.00</w:t>
            </w:r>
          </w:p>
        </w:tc>
        <w:tc>
          <w:tcPr>
            <w:tcW w:w="907" w:type="dxa"/>
            <w:vAlign w:val="top"/>
          </w:tcPr>
          <w:p w14:paraId="13CB2645">
            <w:pPr>
              <w:pStyle w:val="17"/>
              <w:rPr>
                <w:rFonts w:hint="eastAsia" w:ascii="宋体" w:hAnsi="宋体" w:eastAsia="宋体" w:cs="宋体"/>
                <w:sz w:val="21"/>
                <w:szCs w:val="21"/>
                <w:highlight w:val="none"/>
              </w:rPr>
            </w:pPr>
            <w:r>
              <w:rPr>
                <w:rFonts w:hint="eastAsia" w:ascii="宋体" w:hAnsi="宋体" w:eastAsia="宋体" w:cs="宋体"/>
                <w:sz w:val="21"/>
                <w:szCs w:val="21"/>
                <w:highlight w:val="none"/>
              </w:rPr>
              <w:t>其他未列明行业</w:t>
            </w:r>
          </w:p>
        </w:tc>
        <w:tc>
          <w:tcPr>
            <w:tcW w:w="1008" w:type="dxa"/>
            <w:vAlign w:val="top"/>
          </w:tcPr>
          <w:p w14:paraId="6B64D240">
            <w:pPr>
              <w:pStyle w:val="17"/>
              <w:rPr>
                <w:rFonts w:hint="eastAsia" w:ascii="宋体" w:hAnsi="宋体" w:eastAsia="宋体" w:cs="宋体"/>
                <w:sz w:val="21"/>
                <w:szCs w:val="21"/>
              </w:rPr>
            </w:pPr>
            <w:r>
              <w:rPr>
                <w:rFonts w:hint="eastAsia" w:ascii="宋体" w:hAnsi="宋体" w:eastAsia="宋体" w:cs="宋体"/>
                <w:sz w:val="21"/>
                <w:szCs w:val="21"/>
                <w:highlight w:val="none"/>
              </w:rPr>
              <w:t>详见附表一</w:t>
            </w:r>
          </w:p>
        </w:tc>
      </w:tr>
    </w:tbl>
    <w:p w14:paraId="1DEB05B4">
      <w:pPr>
        <w:pStyle w:val="17"/>
        <w:rPr>
          <w:rFonts w:hint="eastAsia" w:ascii="宋体" w:hAnsi="宋体" w:eastAsia="宋体" w:cs="宋体"/>
          <w:b/>
          <w:sz w:val="21"/>
          <w:szCs w:val="21"/>
          <w:lang w:val="en-US" w:eastAsia="zh-CN"/>
        </w:rPr>
      </w:pPr>
    </w:p>
    <w:p w14:paraId="5AF57157">
      <w:pPr>
        <w:pStyle w:val="17"/>
        <w:rPr>
          <w:rFonts w:hint="eastAsia"/>
          <w:b/>
          <w:sz w:val="21"/>
          <w:szCs w:val="21"/>
          <w:lang w:val="en-US" w:eastAsia="zh-CN"/>
        </w:rPr>
      </w:pPr>
      <w:r>
        <w:rPr>
          <w:rFonts w:hint="eastAsia" w:ascii="宋体" w:hAnsi="宋体" w:eastAsia="宋体" w:cs="宋体"/>
          <w:b/>
          <w:sz w:val="21"/>
          <w:szCs w:val="21"/>
          <w:lang w:val="en-US" w:eastAsia="zh-CN"/>
        </w:rPr>
        <w:t>4.</w:t>
      </w:r>
      <w:r>
        <w:rPr>
          <w:rFonts w:hint="eastAsia"/>
          <w:b/>
          <w:sz w:val="21"/>
          <w:szCs w:val="21"/>
          <w:lang w:val="en-US" w:eastAsia="zh-CN"/>
        </w:rPr>
        <w:t>调研清单：</w:t>
      </w:r>
    </w:p>
    <w:tbl>
      <w:tblPr>
        <w:tblStyle w:val="10"/>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1"/>
        <w:gridCol w:w="9493"/>
      </w:tblGrid>
      <w:tr w14:paraId="346DA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97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5B30F">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sz w:val="21"/>
                <w:szCs w:val="21"/>
                <w:lang w:eastAsia="zh-CN"/>
              </w:rPr>
              <w:t>茂名市电白区慢性病防治中心新院区建设项目检测（钢结构、幕墙工程等）服务项目</w:t>
            </w:r>
          </w:p>
        </w:tc>
      </w:tr>
      <w:tr w14:paraId="109FD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EC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EC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园建工程</w:t>
            </w:r>
          </w:p>
        </w:tc>
      </w:tr>
      <w:tr w14:paraId="232CF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903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ADD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园林材料</w:t>
            </w:r>
          </w:p>
        </w:tc>
      </w:tr>
      <w:tr w14:paraId="56D3C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075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D94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钢结构</w:t>
            </w:r>
          </w:p>
        </w:tc>
      </w:tr>
      <w:tr w14:paraId="3BDDD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1B2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514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幕墙工程</w:t>
            </w:r>
          </w:p>
        </w:tc>
      </w:tr>
      <w:tr w14:paraId="63684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8E8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8FB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排水工程材料</w:t>
            </w:r>
          </w:p>
        </w:tc>
      </w:tr>
    </w:tbl>
    <w:p w14:paraId="3A23F850">
      <w:pPr>
        <w:rPr>
          <w:sz w:val="21"/>
          <w:szCs w:val="21"/>
        </w:rPr>
      </w:pPr>
    </w:p>
    <w:p w14:paraId="115AB03E">
      <w:pPr>
        <w:rPr>
          <w:rFonts w:hint="default" w:eastAsiaTheme="minorEastAsia"/>
          <w:b/>
          <w:bCs/>
          <w:sz w:val="24"/>
          <w:szCs w:val="24"/>
          <w:lang w:val="en-US" w:eastAsia="zh-CN"/>
        </w:rPr>
      </w:pPr>
      <w:r>
        <w:rPr>
          <w:rFonts w:hint="eastAsia"/>
          <w:b/>
          <w:bCs/>
          <w:sz w:val="24"/>
          <w:szCs w:val="24"/>
          <w:lang w:val="en-US" w:eastAsia="zh-CN"/>
        </w:rPr>
        <w:t>1）.</w:t>
      </w:r>
    </w:p>
    <w:tbl>
      <w:tblPr>
        <w:tblStyle w:val="10"/>
        <w:tblW w:w="9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24"/>
        <w:gridCol w:w="1075"/>
        <w:gridCol w:w="1956"/>
        <w:gridCol w:w="953"/>
        <w:gridCol w:w="953"/>
        <w:gridCol w:w="2943"/>
        <w:gridCol w:w="1256"/>
      </w:tblGrid>
      <w:tr w14:paraId="31AD9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97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3C2D60">
            <w:pPr>
              <w:keepNext w:val="0"/>
              <w:keepLines w:val="0"/>
              <w:widowControl/>
              <w:suppressLineNumbers w:val="0"/>
              <w:jc w:val="center"/>
              <w:textAlignment w:val="center"/>
              <w:rPr>
                <w:rFonts w:hint="default"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园建工程检测清单</w:t>
            </w:r>
          </w:p>
        </w:tc>
      </w:tr>
      <w:tr w14:paraId="7A1A0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A3F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A8F2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分项工程部位</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35826">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工序名称</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90EBE">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检测项目</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B64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F28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检测频率</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5A2B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检测数量</w:t>
            </w:r>
          </w:p>
        </w:tc>
      </w:tr>
      <w:tr w14:paraId="723A6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4BD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0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5B9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园建</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E56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主入口景观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DBC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E5E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00C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6A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156</w:t>
            </w:r>
          </w:p>
        </w:tc>
      </w:tr>
      <w:tr w14:paraId="1BC94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52C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6627F">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811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西南侧景观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CAF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910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76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DBD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283</w:t>
            </w:r>
          </w:p>
        </w:tc>
      </w:tr>
      <w:tr w14:paraId="0D338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1DF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FCB035">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267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内庭区景观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EBE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13A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91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0B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132</w:t>
            </w:r>
          </w:p>
        </w:tc>
      </w:tr>
      <w:tr w14:paraId="79587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1A7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3DDA4F">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82B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平台区景观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0D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D3E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8C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8B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325</w:t>
            </w:r>
          </w:p>
        </w:tc>
      </w:tr>
      <w:tr w14:paraId="01B3D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2C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49B15">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5C9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精神病院区景观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6E5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A1B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E59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9F6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149</w:t>
            </w:r>
          </w:p>
        </w:tc>
      </w:tr>
      <w:tr w14:paraId="32607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602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CBD52">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3F8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西南区景观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531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E4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AB5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466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176</w:t>
            </w:r>
          </w:p>
        </w:tc>
      </w:tr>
      <w:tr w14:paraId="0B2D2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79A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F7F95">
            <w:pPr>
              <w:jc w:val="center"/>
              <w:rPr>
                <w:rFonts w:hint="eastAsia" w:ascii="宋体" w:hAnsi="宋体" w:eastAsia="宋体" w:cs="宋体"/>
                <w:i w:val="0"/>
                <w:iCs w:val="0"/>
                <w:color w:val="000000"/>
                <w:sz w:val="21"/>
                <w:szCs w:val="21"/>
                <w:u w:val="none"/>
              </w:rPr>
            </w:pPr>
          </w:p>
        </w:tc>
        <w:tc>
          <w:tcPr>
            <w:tcW w:w="19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985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东北区景观</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201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70E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35C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C25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291</w:t>
            </w:r>
          </w:p>
        </w:tc>
      </w:tr>
      <w:tr w14:paraId="5411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8" w:hRule="atLeast"/>
        </w:trPr>
        <w:tc>
          <w:tcPr>
            <w:tcW w:w="6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AC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0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9E8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663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12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19B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2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35C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每1000m2/1点，且不少于4点</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37C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r>
    </w:tbl>
    <w:p w14:paraId="16AF7EA7">
      <w:pPr>
        <w:rPr>
          <w:sz w:val="21"/>
          <w:szCs w:val="21"/>
        </w:rPr>
      </w:pPr>
    </w:p>
    <w:p w14:paraId="4CC8CA00">
      <w:pPr>
        <w:rPr>
          <w:rFonts w:hint="default" w:eastAsiaTheme="minorEastAsia"/>
          <w:b/>
          <w:bCs/>
          <w:sz w:val="24"/>
          <w:szCs w:val="24"/>
          <w:lang w:val="en-US" w:eastAsia="zh-CN"/>
        </w:rPr>
      </w:pPr>
      <w:r>
        <w:rPr>
          <w:rFonts w:hint="eastAsia"/>
          <w:b/>
          <w:bCs/>
          <w:sz w:val="24"/>
          <w:szCs w:val="24"/>
          <w:lang w:val="en-US" w:eastAsia="zh-CN"/>
        </w:rPr>
        <w:t>2）.</w:t>
      </w:r>
    </w:p>
    <w:tbl>
      <w:tblPr>
        <w:tblStyle w:val="10"/>
        <w:tblW w:w="98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9"/>
        <w:gridCol w:w="1219"/>
        <w:gridCol w:w="2240"/>
        <w:gridCol w:w="2505"/>
        <w:gridCol w:w="863"/>
        <w:gridCol w:w="1168"/>
        <w:gridCol w:w="1096"/>
      </w:tblGrid>
      <w:tr w14:paraId="42FA9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98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9944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园林材料检测清单</w:t>
            </w:r>
          </w:p>
        </w:tc>
      </w:tr>
      <w:tr w14:paraId="78E5D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10FC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49EC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检测产品/对象</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926A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检测项目/参数</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DD85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抽检频率</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7109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8944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暂估数量</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1B4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收费依据</w:t>
            </w:r>
          </w:p>
        </w:tc>
      </w:tr>
      <w:tr w14:paraId="2415A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B77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2AD1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43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胶砂强度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F6E7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同标号，同一出厂编号：散装水泥不超过500t为一批；袋装水泥不超过200t为一批。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1A1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546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435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4.1.5</w:t>
            </w:r>
          </w:p>
        </w:tc>
      </w:tr>
      <w:tr w14:paraId="3FDE8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2E6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E259A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BF3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凝结时间</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CCD44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60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E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DC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w:t>
            </w:r>
          </w:p>
        </w:tc>
      </w:tr>
      <w:tr w14:paraId="0B9C6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0CA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7654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9E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安定性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BDD1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EC1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EA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D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w:t>
            </w:r>
          </w:p>
        </w:tc>
      </w:tr>
      <w:tr w14:paraId="42135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AF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915C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529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氯离子</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54ED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29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E06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8ED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4.1.23</w:t>
            </w:r>
          </w:p>
        </w:tc>
      </w:tr>
      <w:tr w14:paraId="3F294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17C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FBC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砂</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F7F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表观密度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C025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不超过400m³或600t为一验收批。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8E0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253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67B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r>
      <w:tr w14:paraId="65B82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E9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5682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EA1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颗粒级配</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8A9F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D5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F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557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w:t>
            </w:r>
          </w:p>
        </w:tc>
      </w:tr>
      <w:tr w14:paraId="63E7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98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242C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50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含泥量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AA29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1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67F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AA6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4.4.8</w:t>
            </w:r>
          </w:p>
        </w:tc>
      </w:tr>
      <w:tr w14:paraId="2BD05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157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F72FC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2B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泥块含量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1389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41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59B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17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4.4.9</w:t>
            </w:r>
          </w:p>
        </w:tc>
      </w:tr>
      <w:tr w14:paraId="11E39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E92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69EEC">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774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氯离子</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72840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3B0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B3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BFE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4.4.15</w:t>
            </w:r>
          </w:p>
        </w:tc>
      </w:tr>
      <w:tr w14:paraId="61DC4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C7C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33D6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碎石</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B9E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表观密度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9AD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不超过400m³或600t为一验收批。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1FB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0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A8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w:t>
            </w:r>
          </w:p>
        </w:tc>
      </w:tr>
      <w:tr w14:paraId="31069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797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0E1F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C8B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颗粒级配</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9EBD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E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07B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931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w:t>
            </w:r>
          </w:p>
        </w:tc>
      </w:tr>
      <w:tr w14:paraId="07CEC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DA0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2F87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97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含泥量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0022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1C4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7C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36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4.5.8</w:t>
            </w:r>
          </w:p>
        </w:tc>
      </w:tr>
      <w:tr w14:paraId="339F7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DC7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FD58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BF3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泥块含量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78DB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1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518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F10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4.5.9</w:t>
            </w:r>
          </w:p>
        </w:tc>
      </w:tr>
      <w:tr w14:paraId="4F1C6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DC3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6F32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8C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坚固性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5CBD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EA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49C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98D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4.5.10</w:t>
            </w:r>
          </w:p>
        </w:tc>
      </w:tr>
      <w:tr w14:paraId="1A9B1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34F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CB89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F45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压碎指标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A6A7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C4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EA6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82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4.5.12</w:t>
            </w:r>
          </w:p>
        </w:tc>
      </w:tr>
      <w:tr w14:paraId="28323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9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4D9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粉煤灰</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8E9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需水量比</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EBE1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连续供应的200t相同等级的粉煤灰为一批。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61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C7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158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4.13.5</w:t>
            </w:r>
          </w:p>
        </w:tc>
      </w:tr>
      <w:tr w14:paraId="0DE6D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58F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D338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46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烧失量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5424A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264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A5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1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4.13.9</w:t>
            </w:r>
          </w:p>
        </w:tc>
      </w:tr>
      <w:tr w14:paraId="73832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F6A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7FE4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723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三氧化硫</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A687F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EF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A2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C32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4.13.10</w:t>
            </w:r>
          </w:p>
        </w:tc>
      </w:tr>
      <w:tr w14:paraId="0DE41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F8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292F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BA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碱含量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11BF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A9E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8D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B89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4.13.13</w:t>
            </w:r>
          </w:p>
        </w:tc>
      </w:tr>
      <w:tr w14:paraId="059A6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280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3F3D3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BA2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含水量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0A33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A96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A70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E7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4.13.4</w:t>
            </w:r>
          </w:p>
        </w:tc>
      </w:tr>
      <w:tr w14:paraId="3D824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506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8C30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737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安定性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76A3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C63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7B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42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4.13.7</w:t>
            </w:r>
          </w:p>
        </w:tc>
      </w:tr>
      <w:tr w14:paraId="08291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DBB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86FAD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0D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游离氧化钙</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2B2B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EF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ECC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B7E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4.13.12</w:t>
            </w:r>
          </w:p>
        </w:tc>
      </w:tr>
      <w:tr w14:paraId="0DE26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F45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797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外加剂</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BBD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减水率</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973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 30t 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DBC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209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561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4.11.15</w:t>
            </w:r>
          </w:p>
        </w:tc>
      </w:tr>
      <w:tr w14:paraId="3EFE5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3E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BBD7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E4C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泌水率比</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3EBD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8D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0A9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85B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4.11.16</w:t>
            </w:r>
          </w:p>
        </w:tc>
      </w:tr>
      <w:tr w14:paraId="045A4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B6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A768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B7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抗压强度比</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90DF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5F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F9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55F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4.11.10</w:t>
            </w:r>
          </w:p>
        </w:tc>
      </w:tr>
      <w:tr w14:paraId="661FE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8E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7312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5EC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氯离子含量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8C7F8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6E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4A5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AB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4.11.7</w:t>
            </w:r>
          </w:p>
        </w:tc>
      </w:tr>
      <w:tr w14:paraId="19B68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1E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4FA4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591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总碱量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3859A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61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C57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C7A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4.11.10</w:t>
            </w:r>
          </w:p>
        </w:tc>
      </w:tr>
      <w:tr w14:paraId="5E73B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55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D1577C">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59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硫酸钠</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6697E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06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AF7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8E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4.11.13</w:t>
            </w:r>
          </w:p>
        </w:tc>
      </w:tr>
      <w:tr w14:paraId="157B6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77"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5E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4A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混凝土配合比</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635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配合比设计/验证</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9D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同一混凝土配合比设计送检一次；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当水泥、外加剂或矿物掺合料等原材料品种、质量有显著变化时，或对混凝土性能有特殊要求时，应重新进行配合比设计。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C6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D4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C4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4.8.9</w:t>
            </w:r>
          </w:p>
        </w:tc>
      </w:tr>
      <w:tr w14:paraId="48CC2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F2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06B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预拌混凝土氯离子</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1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氯离子含量</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2E8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同一配方混合料各一组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4D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92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09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4.8.24</w:t>
            </w:r>
          </w:p>
        </w:tc>
      </w:tr>
      <w:tr w14:paraId="529F1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247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324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混凝土试块</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03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57A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连续浇筑同标号100m3各1组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F34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9D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1FD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4.8.10</w:t>
            </w:r>
          </w:p>
        </w:tc>
      </w:tr>
      <w:tr w14:paraId="1D52D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4"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303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3C2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混凝土抗渗</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11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抗渗等级</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D2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防水混凝土抗渗性能应采用标准条件下养护混凝土抗渗试件的试验结果评定，试件应在混凝土浇筑地点随机取样后制作，并应符合下列规定：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1、连续浇筑混凝土每 500m3 应留置一组 6 个抗渗试件，且每项工程不得少于两组；采用预拌混凝土的抗渗试件，留置组数应视结构的规模和要求而定；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2、抗渗性能试验应符合现行国家标准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《普通混凝土长期性能和耐久性能试验方法标准》GB/T 50082 的有关规定。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基坑工程：有抗渗等级要求的灌注桩尚应留置抗渗等级检测试件，一个级配不宜少于3组。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DC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6E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7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4.8.19</w:t>
            </w:r>
          </w:p>
        </w:tc>
      </w:tr>
      <w:tr w14:paraId="2064C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0F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21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砂浆试块</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259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CA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每一班次不少于一组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26F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932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689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4.9.10</w:t>
            </w:r>
          </w:p>
        </w:tc>
      </w:tr>
      <w:tr w14:paraId="5064E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643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1BFD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钢筋原材（抗震）</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BF9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屈服强度、抗拉强度、断后伸长率、弯曲</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5C7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同一牌号、同一炉灌号、同一规格为验收批，重量不大于60吨。</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486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6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9E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4.16.1</w:t>
            </w:r>
          </w:p>
        </w:tc>
      </w:tr>
      <w:tr w14:paraId="16D6E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6E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BA87B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63A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重量偏差</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BDE8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55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0D9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0DD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4.16.2</w:t>
            </w:r>
          </w:p>
        </w:tc>
      </w:tr>
      <w:tr w14:paraId="593E3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8AC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1119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176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强屈比、超强比</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B3D5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54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07C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3D5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4.16.4</w:t>
            </w:r>
          </w:p>
        </w:tc>
      </w:tr>
      <w:tr w14:paraId="7FB3E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58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37C9E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54E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最大力总伸长率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B4EE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12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F9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CC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4.16.3</w:t>
            </w:r>
          </w:p>
        </w:tc>
      </w:tr>
      <w:tr w14:paraId="48C8E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6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412C6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13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反向弯曲</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A160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D50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DDC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042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4.16.6</w:t>
            </w:r>
          </w:p>
        </w:tc>
      </w:tr>
      <w:tr w14:paraId="1BFC9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3CB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D87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钢筋焊接/预埋件</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267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抗拉强度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161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同一牌号、同直径300个为一批。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79D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4E9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47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4.17.1</w:t>
            </w:r>
          </w:p>
        </w:tc>
      </w:tr>
      <w:tr w14:paraId="408C5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734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0634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钢材原材</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2BA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拉伸、弯曲</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353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同一牌号、同一炉号、同一质量等级、同一品种、同一规格、同一热处理为验收批，重量不大于60吨</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E06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448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A07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4.16.1</w:t>
            </w:r>
          </w:p>
        </w:tc>
      </w:tr>
      <w:tr w14:paraId="36D2E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4FC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67FB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3AE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冲击试验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A5A6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8EF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D1A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8A8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4.16.5</w:t>
            </w:r>
          </w:p>
        </w:tc>
      </w:tr>
      <w:tr w14:paraId="3A890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F84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2359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D7B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Z向性能</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03A7A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CF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AD6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7E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4.16.8</w:t>
            </w:r>
          </w:p>
        </w:tc>
      </w:tr>
      <w:tr w14:paraId="0DFB7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969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2994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焊接材料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17D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直径</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6533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每批药芯焊丝应由同一批号外皮材料、同一批号主要药粉原料、以同样的配方和制造工艺制成，每批最高质量为10 t。</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5E4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40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55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4.31.1</w:t>
            </w:r>
          </w:p>
        </w:tc>
      </w:tr>
      <w:tr w14:paraId="3582E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1F7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5FBA4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C5D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长度尺寸偏差</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DE78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848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0F2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73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4.31.1</w:t>
            </w:r>
          </w:p>
        </w:tc>
      </w:tr>
      <w:tr w14:paraId="0809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1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A9C74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BF5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偏心(不圆)度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2C34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D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028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C51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4.31.2</w:t>
            </w:r>
          </w:p>
        </w:tc>
      </w:tr>
      <w:tr w14:paraId="2B912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F6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2409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AF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熔敷金属拉伸试验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E76B1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EF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E3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BB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4.31.3</w:t>
            </w:r>
          </w:p>
        </w:tc>
      </w:tr>
      <w:tr w14:paraId="4D1AA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B0F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671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钢材/不锈钢</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4A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化学分析</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70D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35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元素</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762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8F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4.16.9</w:t>
            </w:r>
          </w:p>
        </w:tc>
      </w:tr>
      <w:tr w14:paraId="50A5D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4"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98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4B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镀锌钢制品</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E5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镀锌层含量/厚度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1AB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同一厂家生产的同一品种、同一类型的进场材料应至少抽取一组样品进行复验。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C88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4E7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3C9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4.25.7</w:t>
            </w:r>
          </w:p>
        </w:tc>
      </w:tr>
      <w:tr w14:paraId="63CF2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B1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DC8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地脚螺栓</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C7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拉力试验（螺栓机械性能）</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AF82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BB1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38F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D22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4.20.2</w:t>
            </w:r>
          </w:p>
        </w:tc>
      </w:tr>
      <w:tr w14:paraId="7A8A7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89D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DEE2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2BB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材质检验（拉伸、弯曲）</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1CF02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3C7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967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918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4.16.1</w:t>
            </w:r>
          </w:p>
        </w:tc>
      </w:tr>
      <w:tr w14:paraId="756A8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6D2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90A2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普通螺栓</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B3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拉力试验</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0D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E2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35B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F36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4.20.2</w:t>
            </w:r>
          </w:p>
        </w:tc>
      </w:tr>
      <w:tr w14:paraId="5DCC2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FF0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4F5B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96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剪切试验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80CE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2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8E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C1E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4.20.7</w:t>
            </w:r>
          </w:p>
        </w:tc>
      </w:tr>
      <w:tr w14:paraId="43AD8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90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A12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防腐涂料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0C1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容器中状态</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31FC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CA5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D8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017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4.35.24</w:t>
            </w:r>
          </w:p>
        </w:tc>
      </w:tr>
      <w:tr w14:paraId="241F2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D0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A37EE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0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31093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D17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4B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3CE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4.35.26</w:t>
            </w:r>
          </w:p>
        </w:tc>
      </w:tr>
      <w:tr w14:paraId="4B5D0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1D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7738C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1D7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涂膜外观（面漆检）</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E9F8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ED7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B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8D9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4.35.28</w:t>
            </w:r>
          </w:p>
        </w:tc>
      </w:tr>
      <w:tr w14:paraId="7D464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B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4C0B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4C8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附着力（划格法）</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2BC64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8FF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7FF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DDD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4.35.5</w:t>
            </w:r>
          </w:p>
        </w:tc>
      </w:tr>
      <w:tr w14:paraId="04284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AD7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96CC1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97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干燥时间（表干）</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881F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286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F6C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B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4.35.7</w:t>
            </w:r>
          </w:p>
        </w:tc>
      </w:tr>
      <w:tr w14:paraId="0CE17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B8C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8D19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D8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耐弯曲性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C70B6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783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4CC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6E3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4.35.19</w:t>
            </w:r>
          </w:p>
        </w:tc>
      </w:tr>
      <w:tr w14:paraId="14E45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2F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18DE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0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耐冲击性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9BCFA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122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A94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9A6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4.35.11</w:t>
            </w:r>
          </w:p>
        </w:tc>
      </w:tr>
      <w:tr w14:paraId="6C41D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2DB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D99CC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07A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耐水性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3A89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613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42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E81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4.35.17</w:t>
            </w:r>
          </w:p>
        </w:tc>
      </w:tr>
      <w:tr w14:paraId="5839A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7E2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2ED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砌墙砖</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D6B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0A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10万块为一批；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F9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1D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C4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4.26.4</w:t>
            </w:r>
          </w:p>
        </w:tc>
      </w:tr>
      <w:tr w14:paraId="67E62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76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C95C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预拌砂浆</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DE1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稠度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7272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同一类别的 500t 产品为一批；不足 500t产品按一批计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B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B4F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73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w:t>
            </w:r>
          </w:p>
        </w:tc>
      </w:tr>
      <w:tr w14:paraId="51DD7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3BE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DB466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AA8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DCFF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A7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19D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483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4.9.10</w:t>
            </w:r>
          </w:p>
        </w:tc>
      </w:tr>
      <w:tr w14:paraId="3DCB3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DBF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BC3A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CC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2h稠度损失率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A8C1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7E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51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9B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4.9.33</w:t>
            </w:r>
          </w:p>
        </w:tc>
      </w:tr>
      <w:tr w14:paraId="124A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4F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3573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7B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凝结时间</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9D17C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4A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61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04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4.9.6</w:t>
            </w:r>
          </w:p>
        </w:tc>
      </w:tr>
      <w:tr w14:paraId="183DD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EE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676C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72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8372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0A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10E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A39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4.9.25</w:t>
            </w:r>
          </w:p>
        </w:tc>
      </w:tr>
      <w:tr w14:paraId="6CDA1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51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B995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AC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14d拉伸粘结强度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F19C4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D99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F3D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CD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4.9.19</w:t>
            </w:r>
          </w:p>
        </w:tc>
      </w:tr>
      <w:tr w14:paraId="2EFA1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B1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9DA5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防水砂浆</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E1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稠度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448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同一类别的 500t 产品为一批；不足 500t产品按一批计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9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FB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CC2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w:t>
            </w:r>
          </w:p>
        </w:tc>
      </w:tr>
      <w:tr w14:paraId="5612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E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60B05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8A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DC28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CB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FF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80E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4.9.10</w:t>
            </w:r>
          </w:p>
        </w:tc>
      </w:tr>
      <w:tr w14:paraId="0E591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DA5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C413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42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凝结时间</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A41D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B86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2F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576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4.9.6</w:t>
            </w:r>
          </w:p>
        </w:tc>
      </w:tr>
      <w:tr w14:paraId="0BE69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EC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2E82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68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E3A3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87D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B55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00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4.9.25</w:t>
            </w:r>
          </w:p>
        </w:tc>
      </w:tr>
      <w:tr w14:paraId="68C82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744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17BC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DBB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14d拉伸粘结强度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C4FE5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E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F97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F09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4.9.19</w:t>
            </w:r>
          </w:p>
        </w:tc>
      </w:tr>
      <w:tr w14:paraId="27C2D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52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90487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13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抗渗压力</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DDA0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23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25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D9C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4.9.22</w:t>
            </w:r>
          </w:p>
        </w:tc>
      </w:tr>
      <w:tr w14:paraId="60CF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8A7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E4DD9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0F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2h稠度损失率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FC59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56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26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462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4.9.33</w:t>
            </w:r>
          </w:p>
        </w:tc>
      </w:tr>
      <w:tr w14:paraId="7D6A7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F5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89BD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聚氨酯防水涂料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34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固体含量</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B86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以同一类型、同一规格15t为一批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ABD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98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7C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4.40.2</w:t>
            </w:r>
          </w:p>
        </w:tc>
      </w:tr>
      <w:tr w14:paraId="0C7D3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AD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75EB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C3D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拉伸强度、伸长率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F715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76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8A7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033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4.40.5</w:t>
            </w:r>
          </w:p>
        </w:tc>
      </w:tr>
      <w:tr w14:paraId="37603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40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86F9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D50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撕裂强度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86F55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E6B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96B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08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4.40.4</w:t>
            </w:r>
          </w:p>
        </w:tc>
      </w:tr>
      <w:tr w14:paraId="136AF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B7E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6F96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15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粘结强度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1BBF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305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648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814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4.40.6</w:t>
            </w:r>
          </w:p>
        </w:tc>
      </w:tr>
      <w:tr w14:paraId="51EDB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42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6A10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C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不透水性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FF84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1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D49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4B5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4.40.9</w:t>
            </w:r>
          </w:p>
        </w:tc>
      </w:tr>
      <w:tr w14:paraId="14BE1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4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CE0F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石材</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DC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吸水率</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0241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同一厂家生产的同一品种、同一类型的进场材料应至少抽取一组样品进行复验。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C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79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9AE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4.34.4</w:t>
            </w:r>
          </w:p>
        </w:tc>
      </w:tr>
      <w:tr w14:paraId="010E2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67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23E6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B3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体积密度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0167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86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DD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ABA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4.34.3</w:t>
            </w:r>
          </w:p>
        </w:tc>
      </w:tr>
      <w:tr w14:paraId="03AD9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91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5BEE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FB6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干燥压缩强度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CC67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68A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1F5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B6C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w:t>
            </w:r>
          </w:p>
        </w:tc>
      </w:tr>
      <w:tr w14:paraId="237C2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8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F139C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83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水饱和压缩强度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49315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FD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8B7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08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w:t>
            </w:r>
          </w:p>
        </w:tc>
      </w:tr>
      <w:tr w14:paraId="72026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67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1780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5C8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干燥弯曲强度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587EC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D5C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AB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37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4.34.2</w:t>
            </w:r>
          </w:p>
        </w:tc>
      </w:tr>
      <w:tr w14:paraId="61DCD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DC4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A73D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19F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水饱和弯曲强度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D550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3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F95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B07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4.34.2</w:t>
            </w:r>
          </w:p>
        </w:tc>
      </w:tr>
      <w:tr w14:paraId="655DE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7B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5980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内外墙涂料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12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容器中状态</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76D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同一厂家生产的同一品种、同一类型的进场材料应至少抽取一组样品进行复验。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FE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927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382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4.35.24</w:t>
            </w:r>
          </w:p>
        </w:tc>
      </w:tr>
      <w:tr w14:paraId="48EBF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1D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8BEB6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F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2CEF3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747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C5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2A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4.35.26</w:t>
            </w:r>
          </w:p>
        </w:tc>
      </w:tr>
      <w:tr w14:paraId="3485B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00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E7562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488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干燥时间</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37DEF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4D3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32A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22F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4.35.7</w:t>
            </w:r>
          </w:p>
        </w:tc>
      </w:tr>
      <w:tr w14:paraId="3EB2F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A80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A6358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DD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涂膜外观</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BB8E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99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911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2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4.35.28</w:t>
            </w:r>
          </w:p>
        </w:tc>
      </w:tr>
      <w:tr w14:paraId="1EE4C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C0E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2A37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96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粘结强度（标准状态）</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6156E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AEB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39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167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4.35.14</w:t>
            </w:r>
          </w:p>
        </w:tc>
      </w:tr>
      <w:tr w14:paraId="6C435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C0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0CF6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695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耐洗刷性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D4FE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1A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7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0A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4.35.20</w:t>
            </w:r>
          </w:p>
        </w:tc>
      </w:tr>
      <w:tr w14:paraId="1AB08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1D3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38922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3B2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耐水性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7649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06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B12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DF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4.35.17</w:t>
            </w:r>
          </w:p>
        </w:tc>
      </w:tr>
      <w:tr w14:paraId="52F53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AF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837D2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11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耐碱性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E9C7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4E3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C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3E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4.35.15</w:t>
            </w:r>
          </w:p>
        </w:tc>
      </w:tr>
      <w:tr w14:paraId="15347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9C7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A464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建筑外墙用腻子</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F85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容器中状态</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AA96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同一厂家生产的同一品种、同一类型的进场材料应至少抽取一组样品进行复验。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B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4F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29B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4.35.24</w:t>
            </w:r>
          </w:p>
        </w:tc>
      </w:tr>
      <w:tr w14:paraId="2AC3E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7D6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CA85E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63C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E737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3DC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7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CB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4.35.26</w:t>
            </w:r>
          </w:p>
        </w:tc>
      </w:tr>
      <w:tr w14:paraId="35170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7BD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E5F06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DD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干燥时间（表干）</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D59E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2E1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EB8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32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4.35.7</w:t>
            </w:r>
          </w:p>
        </w:tc>
      </w:tr>
      <w:tr w14:paraId="7F078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806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1DA7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01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耐水性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8E29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C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0B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55B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4.35.17</w:t>
            </w:r>
          </w:p>
        </w:tc>
      </w:tr>
      <w:tr w14:paraId="4C0D7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06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CAF1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8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耐碱性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FEAE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F8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BED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FE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4.35.15</w:t>
            </w:r>
          </w:p>
        </w:tc>
      </w:tr>
      <w:tr w14:paraId="41AAA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358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B7D7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EDA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打磨性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B5FEB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945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8B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B61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4.35.4</w:t>
            </w:r>
          </w:p>
        </w:tc>
      </w:tr>
      <w:tr w14:paraId="67D0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A09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E8A2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DDE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粘结强度（标准状态）</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7B5B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B45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46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80C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4.35.14</w:t>
            </w:r>
          </w:p>
        </w:tc>
      </w:tr>
      <w:tr w14:paraId="24CFF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540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ABAB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D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初期干燥抗裂性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43D50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F22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720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F1C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4.35.2</w:t>
            </w:r>
          </w:p>
        </w:tc>
      </w:tr>
      <w:tr w14:paraId="75109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3D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5783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铝单板</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51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涂层厚度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FE2B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同一厂家生产的同一品种、同一类型的进场材料应至少抽取一组样品进行复验。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49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CB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BF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4.29.5</w:t>
            </w:r>
          </w:p>
        </w:tc>
      </w:tr>
      <w:tr w14:paraId="4DEB1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CF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70CD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FE6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漆膜硬度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E92E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B18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32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B92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4.29.15</w:t>
            </w:r>
          </w:p>
        </w:tc>
      </w:tr>
      <w:tr w14:paraId="32DA7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07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51A0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083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附着性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23084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C9E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DD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6A2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4.29.14</w:t>
            </w:r>
          </w:p>
        </w:tc>
      </w:tr>
      <w:tr w14:paraId="2E49D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E8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2E45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21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抗拉强度、伸长率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AA7E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21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A75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D7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4.29.2</w:t>
            </w:r>
          </w:p>
        </w:tc>
      </w:tr>
      <w:tr w14:paraId="5D39D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4CA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1D0F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井盖/箅子</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B2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承载能力</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E45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500套为1批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39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1E3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E74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10.16.1</w:t>
            </w:r>
          </w:p>
        </w:tc>
      </w:tr>
      <w:tr w14:paraId="09CEC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D4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08C35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4A2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残余变形</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44EC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BAB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16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3B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10.16.2</w:t>
            </w:r>
          </w:p>
        </w:tc>
      </w:tr>
      <w:tr w14:paraId="64860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48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DF5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水泥稳定材料用粗集料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0B8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筛分</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2FB5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不超过400m³或600t为一验收批。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B3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E49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A9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w:t>
            </w:r>
          </w:p>
        </w:tc>
      </w:tr>
      <w:tr w14:paraId="5D97A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7A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8155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5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毛体积相对密度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A4EBC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38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B6C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AE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CB04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D44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BB236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CE4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07344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BF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4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41A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4.5.7</w:t>
            </w:r>
          </w:p>
        </w:tc>
      </w:tr>
      <w:tr w14:paraId="2887D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70A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C13C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ECC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3660F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7F4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3CB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612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4.5.6</w:t>
            </w:r>
          </w:p>
        </w:tc>
      </w:tr>
      <w:tr w14:paraId="485F5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706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A565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A88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针片状颗粒含量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3875C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6E8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AA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AE4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4.5.11</w:t>
            </w:r>
          </w:p>
        </w:tc>
      </w:tr>
      <w:tr w14:paraId="792B0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55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DE1C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44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＜0.075mm粉尘含量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0040D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A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A72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F5C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4.5.8</w:t>
            </w:r>
          </w:p>
        </w:tc>
      </w:tr>
      <w:tr w14:paraId="15842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A34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18FF8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BE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石料压碎值（主要做10-15系列碎石和级配碎石）</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3C07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3F4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E4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05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4.5.12</w:t>
            </w:r>
          </w:p>
        </w:tc>
      </w:tr>
      <w:tr w14:paraId="7417E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DDC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FB1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水泥稳定材料用细集料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EF5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毛体积相对密度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272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不超过400m³或600t为一验收批。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E6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87D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438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8EB7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0D8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230B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08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D2BD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05A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1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2E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4.4.6</w:t>
            </w:r>
          </w:p>
        </w:tc>
      </w:tr>
      <w:tr w14:paraId="0510E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C87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E1402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6C9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＜0.075mm颗粒</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3DB9A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F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37D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1E8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4.4.8</w:t>
            </w:r>
          </w:p>
        </w:tc>
      </w:tr>
      <w:tr w14:paraId="7D42B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26D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2409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21C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7006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859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1E4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4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w:t>
            </w:r>
          </w:p>
        </w:tc>
      </w:tr>
      <w:tr w14:paraId="1BE5F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CA6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77A95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41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筛分</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F469D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277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C6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6A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w:t>
            </w:r>
          </w:p>
        </w:tc>
      </w:tr>
      <w:tr w14:paraId="0E6AF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78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57F7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土工材料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D89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液塑限试验</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3442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按相同土质为同一批次，每批取一组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5B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31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4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ED0D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7D1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A0B0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A5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颗粒分析试验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42A3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52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58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D23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1.20.4</w:t>
            </w:r>
          </w:p>
        </w:tc>
      </w:tr>
      <w:tr w14:paraId="4C246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78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A449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F0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D386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3D8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46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C8B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1.20.1</w:t>
            </w:r>
          </w:p>
        </w:tc>
      </w:tr>
      <w:tr w14:paraId="0CE89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312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D09C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685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CBR试验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636A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C5D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B5A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E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8DD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F2D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3B3B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F1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击实试验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8CA3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8C5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D4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6F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10.11.1</w:t>
            </w:r>
          </w:p>
        </w:tc>
      </w:tr>
      <w:tr w14:paraId="73A2D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0D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F5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水泥稳定配比</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3E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配合比设计</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D26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同一配方混合料各一组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F08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0B9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72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10.11.6</w:t>
            </w:r>
          </w:p>
        </w:tc>
      </w:tr>
      <w:tr w14:paraId="48400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E5F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8C4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水泥稳定层材料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A44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无侧限抗压强度</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B0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每种材料每台班1组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A4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920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C6D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10.11.2</w:t>
            </w:r>
          </w:p>
        </w:tc>
      </w:tr>
      <w:tr w14:paraId="1B527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91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F50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改性沥青</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A9C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针入度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832D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每车或每50t检测一次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99B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AB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868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w:t>
            </w:r>
          </w:p>
        </w:tc>
      </w:tr>
      <w:tr w14:paraId="421AA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65B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02404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BFB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针入度指数</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C0FB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13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FB3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897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10.9.24</w:t>
            </w:r>
          </w:p>
        </w:tc>
      </w:tr>
      <w:tr w14:paraId="4081D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4C6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D0F7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C7A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延度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2E980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C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F54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901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10.9.3</w:t>
            </w:r>
          </w:p>
        </w:tc>
      </w:tr>
      <w:tr w14:paraId="24AC9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F4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1963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C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软化点</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C89CC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0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22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689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10.9.4</w:t>
            </w:r>
          </w:p>
        </w:tc>
      </w:tr>
      <w:tr w14:paraId="0F2D8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16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E0D76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C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运动粘度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6762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DF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C9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A5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10.9.15</w:t>
            </w:r>
          </w:p>
        </w:tc>
      </w:tr>
      <w:tr w14:paraId="73567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6E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58A3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09B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闪点</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3CD7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48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901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42E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10.9.10</w:t>
            </w:r>
          </w:p>
        </w:tc>
      </w:tr>
      <w:tr w14:paraId="41FA3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19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2E3A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1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溶解度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39A9B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3E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95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05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10.9.8</w:t>
            </w:r>
          </w:p>
        </w:tc>
      </w:tr>
      <w:tr w14:paraId="4DDA3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9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7B53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2F2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弹性恢复</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65B1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DE5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A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C4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10.9.18</w:t>
            </w:r>
          </w:p>
        </w:tc>
      </w:tr>
      <w:tr w14:paraId="2A21D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B5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9BB0C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F8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贮存稳定性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5B3B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41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40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74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10.9.17</w:t>
            </w:r>
          </w:p>
        </w:tc>
      </w:tr>
      <w:tr w14:paraId="66BDD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1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466E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6E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TFOT后（质量变化、残留针入度比、残留延度）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51A76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FB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6F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D72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10.9.6</w:t>
            </w:r>
          </w:p>
        </w:tc>
      </w:tr>
      <w:tr w14:paraId="2191A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F36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3330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石油沥青</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56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针入度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8C6F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同一厂家的同一品种、同一类型的进厂材料应至少抽取一组样品进行复验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A6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A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F64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w:t>
            </w:r>
          </w:p>
        </w:tc>
      </w:tr>
      <w:tr w14:paraId="5D547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0B0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ABF2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7E9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针入度指数</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91EC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D5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A62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63A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10.9.24</w:t>
            </w:r>
          </w:p>
        </w:tc>
      </w:tr>
      <w:tr w14:paraId="388F4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98D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2F7F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CC2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软化点</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89A9D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5C1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3C9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0D9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10.9.4</w:t>
            </w:r>
          </w:p>
        </w:tc>
      </w:tr>
      <w:tr w14:paraId="077DF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CB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6B7A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DA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动力粘度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B078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9D4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89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D61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10.9.14</w:t>
            </w:r>
          </w:p>
        </w:tc>
      </w:tr>
      <w:tr w14:paraId="1B9A7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B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47D1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805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延度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7799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BE6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AC7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B99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10.9.3</w:t>
            </w:r>
          </w:p>
        </w:tc>
      </w:tr>
      <w:tr w14:paraId="36E8D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273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E23E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C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蜡含量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9D36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527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8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E5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10.9.5</w:t>
            </w:r>
          </w:p>
        </w:tc>
      </w:tr>
      <w:tr w14:paraId="06887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17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304AD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3D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闪点</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6F134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66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A84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37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10.9.10</w:t>
            </w:r>
          </w:p>
        </w:tc>
      </w:tr>
      <w:tr w14:paraId="30B68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AF0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3772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5DB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密度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54AC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91F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A4B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869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w:t>
            </w:r>
          </w:p>
        </w:tc>
      </w:tr>
      <w:tr w14:paraId="1F3A3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92B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882C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CB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TFOT后（质量变化、残留针入度比、残留延度）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3BFE1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4FB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76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9E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10.9.6</w:t>
            </w:r>
          </w:p>
        </w:tc>
      </w:tr>
      <w:tr w14:paraId="1F2A7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A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3442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乳化沥青</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59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恩格拉粘度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3371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每车或每100t检测一次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EC0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2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AD5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10.9.22</w:t>
            </w:r>
          </w:p>
        </w:tc>
      </w:tr>
      <w:tr w14:paraId="7C9D7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5A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C798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3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储存稳定度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373D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A0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4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1A7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10.9.17</w:t>
            </w:r>
          </w:p>
        </w:tc>
      </w:tr>
      <w:tr w14:paraId="4086A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8CC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0B418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C4B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筛上残余物</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113B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BD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14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050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10.9.20</w:t>
            </w:r>
          </w:p>
        </w:tc>
      </w:tr>
      <w:tr w14:paraId="7D597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E37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86055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9C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与粗集料的粘附性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9C58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B2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45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F5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10.9.7</w:t>
            </w:r>
          </w:p>
        </w:tc>
      </w:tr>
      <w:tr w14:paraId="52E50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A36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BD61B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5C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蒸发残留物（针入度、延度、溶解度、残留分含量）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0D04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631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136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FE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10.9.19</w:t>
            </w:r>
          </w:p>
        </w:tc>
      </w:tr>
      <w:tr w14:paraId="0DB2E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F2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177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沥青混合料用粗集料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C3B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压碎值</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336A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以400m3或600吨为一验收批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76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D3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F76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4.5.12</w:t>
            </w:r>
          </w:p>
        </w:tc>
      </w:tr>
      <w:tr w14:paraId="6A6E9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9EE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AD35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BF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筛分</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67ABF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25E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31F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408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w:t>
            </w:r>
          </w:p>
        </w:tc>
      </w:tr>
      <w:tr w14:paraId="7957D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73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DFF7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BF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洛杉矶磨耗损失</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3BC5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D0E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4B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4EA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4.5.17</w:t>
            </w:r>
          </w:p>
        </w:tc>
      </w:tr>
      <w:tr w14:paraId="34910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AB4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B7A3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C7C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表观相对密度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DF64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6E8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F9B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9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w:t>
            </w:r>
          </w:p>
        </w:tc>
      </w:tr>
      <w:tr w14:paraId="2B113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03B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1C65C">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5F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吸水率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5F8B9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362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3F2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D98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4.5.7</w:t>
            </w:r>
          </w:p>
        </w:tc>
      </w:tr>
      <w:tr w14:paraId="7C68D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C7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047E3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756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坚固性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7A4C9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B61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0D2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E04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4.5.10</w:t>
            </w:r>
          </w:p>
        </w:tc>
      </w:tr>
      <w:tr w14:paraId="3BBB2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35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6A381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332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针片状颗粒含量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86A1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F9F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79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E13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4.5.11</w:t>
            </w:r>
          </w:p>
        </w:tc>
      </w:tr>
      <w:tr w14:paraId="18ABF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02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496E2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8B9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软石含量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CCFA5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AF6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F8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49F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4.5.20</w:t>
            </w:r>
          </w:p>
        </w:tc>
      </w:tr>
      <w:tr w14:paraId="1C90E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2B4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DB91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262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磨光值</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5393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067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4DC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07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4.5.18</w:t>
            </w:r>
          </w:p>
        </w:tc>
      </w:tr>
      <w:tr w14:paraId="3A8AE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166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38587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9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沥青粘附性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F5EF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ED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E7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797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10.9.7</w:t>
            </w:r>
          </w:p>
        </w:tc>
      </w:tr>
      <w:tr w14:paraId="41E0B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3A4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5F7F2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B75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水洗法＜0.075mm颗粒含量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BCCC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D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9B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CE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4.5.8</w:t>
            </w:r>
          </w:p>
        </w:tc>
      </w:tr>
      <w:tr w14:paraId="518E1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5E8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C784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沥青混合料用细集料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22E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表观密度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21D0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以400m3或600吨为一验收批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7E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08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3B3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r>
      <w:tr w14:paraId="08EEE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411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563E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600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筛分</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71163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C5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38B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03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w:t>
            </w:r>
          </w:p>
        </w:tc>
      </w:tr>
      <w:tr w14:paraId="76578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E3F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4B617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42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坚固性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AE2D9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A0D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B5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D70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4.4.10</w:t>
            </w:r>
          </w:p>
        </w:tc>
      </w:tr>
      <w:tr w14:paraId="11091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3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8E2B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FD4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含泥量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B3DA9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AB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DE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9B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4.4.8</w:t>
            </w:r>
          </w:p>
        </w:tc>
      </w:tr>
      <w:tr w14:paraId="06578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73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CA31E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43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砂当量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2A2FA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EA2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792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6BC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4.4.21</w:t>
            </w:r>
          </w:p>
        </w:tc>
      </w:tr>
      <w:tr w14:paraId="15391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F92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987E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55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亚甲蓝值</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145F6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393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8F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12B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4.4.18</w:t>
            </w:r>
          </w:p>
        </w:tc>
      </w:tr>
      <w:tr w14:paraId="4CD5B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18E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3CD4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ADF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凌角性（流动时间）</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448E1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920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DCE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F4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4.4.23</w:t>
            </w:r>
          </w:p>
        </w:tc>
      </w:tr>
      <w:tr w14:paraId="0B8C3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921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910A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矿粉</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AE1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表观相对密度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955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同一厂家的同一品种、同一类型的进厂材料应至少抽取一组样品进行复验</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C30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9AC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B7F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10.8.2</w:t>
            </w:r>
          </w:p>
        </w:tc>
      </w:tr>
      <w:tr w14:paraId="40625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EE6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9C7FE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CF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含水量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53427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4CB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CD1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877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10.8.6</w:t>
            </w:r>
          </w:p>
        </w:tc>
      </w:tr>
      <w:tr w14:paraId="55FF6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8FF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93AD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EB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筛分</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D9D516">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6C3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4C6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E79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10.8.1</w:t>
            </w:r>
          </w:p>
        </w:tc>
      </w:tr>
      <w:tr w14:paraId="7B02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AD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3DE5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15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亲水系数</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ED5D6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2C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9F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B58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10.8.3</w:t>
            </w:r>
          </w:p>
        </w:tc>
      </w:tr>
      <w:tr w14:paraId="504DB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CEF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D3B7B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07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塑性指数</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75B6C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7B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9ED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64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10.8.4</w:t>
            </w:r>
          </w:p>
        </w:tc>
      </w:tr>
      <w:tr w14:paraId="43F6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8C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D450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86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加热安定性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A4A3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90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3DD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255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10.8.5</w:t>
            </w:r>
          </w:p>
        </w:tc>
      </w:tr>
      <w:tr w14:paraId="3B48A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53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29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沥青混合料配合比设计(AC)</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170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配合比设计</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D4F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8AA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BFD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3C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10.10.1</w:t>
            </w:r>
          </w:p>
        </w:tc>
      </w:tr>
      <w:tr w14:paraId="4A112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FB3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42B1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沥青混合料</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675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马歇尔密度、沥青用量及矿料级配检验</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ECC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31C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F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5CE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10.10.3</w:t>
            </w:r>
          </w:p>
        </w:tc>
      </w:tr>
      <w:tr w14:paraId="2E71F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6F1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E3D1E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A46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稳定度、流值</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A716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121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BB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758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10.10.4</w:t>
            </w:r>
          </w:p>
        </w:tc>
      </w:tr>
      <w:tr w14:paraId="73FFB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1E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40B5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6E4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车辙试验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CF69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DA6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4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9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10.10.8</w:t>
            </w:r>
          </w:p>
        </w:tc>
      </w:tr>
      <w:tr w14:paraId="141F7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7FB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F48B2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FF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渗水试验</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710D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97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10B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888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10.10.13</w:t>
            </w:r>
          </w:p>
        </w:tc>
      </w:tr>
      <w:tr w14:paraId="52F38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85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23F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透水混凝土配合比设计</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67E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透水混凝土配合比设计</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D2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同一配合比设计送检一次</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CA6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B06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330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5C88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31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BBB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透水混凝土</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4AC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透水系数</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2F5F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同一配比，同一强度等级各检测1组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130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C01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8A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8D38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A5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7536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A00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6FC3D">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406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EA4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C9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228E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F22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EDF7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31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弯拉强度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E75EA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D5E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B3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323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7EF1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C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9F51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透水路面砖</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85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685D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56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A68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8F0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10.13.3</w:t>
            </w:r>
          </w:p>
        </w:tc>
      </w:tr>
      <w:tr w14:paraId="43CF2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32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0AF3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49B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抗折强度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8F402">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C85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82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9F8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10.13.4</w:t>
            </w:r>
          </w:p>
        </w:tc>
      </w:tr>
      <w:tr w14:paraId="0B483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92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FCC92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2F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透水系数</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C73CE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595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40E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078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9B0C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6E2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0B9B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B5E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防滑性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D665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3E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E6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C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66BB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B1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DA7A7">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5E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耐磨性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7B9F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920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27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F9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D78E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D9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217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运动场合成材料面层</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64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总挥发性有机化合物释放率（TVOC）/mg/㎡.h</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DCD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按一次进货同类型、同一厂家、型号、规格、批号的产品为一批。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A88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AA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F6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89C0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E4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14FE5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30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甲醛释放率/mg/㎡.h</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57900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C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55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22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5CED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F1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FDD88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828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苯释放率/mg/㎡.h</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E2AD8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C08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70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FC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B6EE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84B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B3753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781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甲苯+二甲苯+乙苯总和释放率/mg/㎡.h</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BB13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C9D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8CC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0DA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4542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1D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EFE6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1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二硫化碳释放率/mg/㎡.h</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E910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01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760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E81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788E7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E2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B2CD0">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A6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邻苯二甲酸酯类（DBP,BBP,DEHP）/g/kg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EDEB0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A3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08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52F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7314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883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D64B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1F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邻苯二甲酸酯类（DNOP,DINP,DIDP）/g/kg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2526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B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B0D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7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9551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5A5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BA27C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12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多环芳烃（18种总和）c)/(mg/kg)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AFB6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C8F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D8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5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CA64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253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C935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7B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18种多环芳烃总和b（mg/kg）（取距合成材料面层上表面5mm以内部分测试）</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A5ED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D92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17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6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1367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FA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274E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CD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苯并[a]芘/(mg/kg)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1EF75">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9D3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87F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BB4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969E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A38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320FE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5E3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短链氯化石蜡（C10-C13）/g/kg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3633A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E4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C64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069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7A691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2CB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D04E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9A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二氨基二苯甲烷（MOCA）/g/kg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6C91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D2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32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D1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C1B4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4"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8C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886D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36F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游离甲苯二异氰酸酯（TDI）和游离六亚甲基二异氰酸酯(HDI)/(g/kg)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591C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B7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2D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AF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E01C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C7E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9F6CE">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E0D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游离二苯基甲烷二异氰酸酯（MDI）/(g/kg)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8D33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B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E4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AC4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FBCC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31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A118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8DD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（可溶性元素含量）铅(mg/kg)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5518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6F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E9D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BE7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F35E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52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A0CB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E8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（可溶性元素含量）镉(mg/kg)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4EB8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934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676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DAB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44CC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9CF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63F4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418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（可溶性元素含量）铬(mg/kg)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20D5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30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2E4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3BC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D776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C3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DE3F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54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（可溶性元素含量）汞(mg/kg)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A0256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EF9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A3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18A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DEB1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082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F2994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8CA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气味等级/级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AF7A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A45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45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7B2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FC4C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A97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2CF02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2D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冲击吸收(0℃、23℃、50℃)</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4295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379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D9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062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20C5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2E6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EC7FD">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778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垂直变形</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85C2B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93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477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A83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0654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CA7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77BB7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060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抗滑性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7162C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4BA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704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61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C433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5D4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933FA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05F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拉伸强度</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07016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9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17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2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BA59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5B1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CC1E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1A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扯断伸长率</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F468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73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135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3F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37A2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63C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9E359">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8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阻燃性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EE0BE">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87F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04F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331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0771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10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A73B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非固体原料中有害物质限量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（主要包括：胶粘剂、现浇型面层用预聚体和多元醇树脂组分）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DA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总挥发性有机物/(g/L)</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A2F1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按一次进货同类型、同一厂家、型号、规格、批号的产品为一批。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7C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01D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21F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F94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50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66E9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395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游离甲醛/(g/kg)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E17F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048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A58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D0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29F5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794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97A6A">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CAC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苯/(g/kg)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DEBAA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26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F16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5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FAAA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4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F5B6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80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甲苯+二甲苯+乙苯总和/(g/kg)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DFBC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70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AB6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EB7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4EE0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4"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44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9B0C9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9E2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游离甲苯二异氰酸酯（TDI）和游离六亚甲基二异氰酸酯(HDI)/(g/kg)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18520">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4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ED6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27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17F6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94C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5623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80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短链氯化石蜡（C10-C13）/g/kg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403E53">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6EE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B0F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1E3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8AB6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14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E93BC1">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A97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邻苯二甲酸酯类（DBP,BBP,DEHP）/g/kg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D2807F">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4EF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04A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D4C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EF34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E3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A2F1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4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邻苯二甲酸酯类（DNOP,DINP,DIDP）/g/kg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C3B98">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357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7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88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94A6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37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E20C4">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CE5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（可溶性元素含量）铅(mg/kg)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BAD6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A01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A9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66B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7FA44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E2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65976">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F26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（可溶性元素含量）镉(mg/kg)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EB287">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F12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BBC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C64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3B87B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243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E556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FBC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（可溶性元素含量）铬(mg/kg)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C173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B71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3CD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FA1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2AB3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C1F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5540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A61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（可溶性元素含量）汞(mg/kg)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EECCC">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325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2CD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052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B327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1F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7146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固体原料中有害物质限量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（包括防滑颗粒、填充颗粒、铺装前的预制型面层和人造草）</w:t>
            </w: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0FB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多环芳烃（18种总和）c)/(mg/kg)</w:t>
            </w:r>
          </w:p>
        </w:tc>
        <w:tc>
          <w:tcPr>
            <w:tcW w:w="2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12F9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按一次进货同类型、同一厂家、型号、规格、批号的产品为一批。</w:t>
            </w: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55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F80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725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35B4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DB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D3CFF">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CF8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苯并[a]芘/(mg/kg)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88754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735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25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C4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12BD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10D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D5E65">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59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高聚物限量</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DF26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2E3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D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441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033F6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05E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3A17F2">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94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（可溶性元素含量）铅(mg/kg)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4362B">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06B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D5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DA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46D23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F3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C0D3F3">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88A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（可溶性元素含量）镉(mg/kg)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2C8049">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8C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8E3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967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121B1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FA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26C1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F03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（可溶性元素含量）铬(mg/kg)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D2E754">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6A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6B6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50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53A0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0F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B79A8">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968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（可溶性元素含量）汞(mg/kg)</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865D6A">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8D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F14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A3C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297CC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1"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42B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C025B">
            <w:pPr>
              <w:jc w:val="center"/>
              <w:rPr>
                <w:rFonts w:hint="eastAsia" w:ascii="宋体" w:hAnsi="宋体" w:eastAsia="宋体" w:cs="宋体"/>
                <w:i w:val="0"/>
                <w:iCs w:val="0"/>
                <w:color w:val="000000"/>
                <w:sz w:val="22"/>
                <w:szCs w:val="22"/>
                <w:u w:val="none"/>
              </w:rPr>
            </w:pPr>
          </w:p>
        </w:tc>
        <w:tc>
          <w:tcPr>
            <w:tcW w:w="2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B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气味等级/级</w:t>
            </w:r>
          </w:p>
        </w:tc>
        <w:tc>
          <w:tcPr>
            <w:tcW w:w="2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D55741">
            <w:pPr>
              <w:jc w:val="center"/>
              <w:rPr>
                <w:rFonts w:hint="eastAsia" w:ascii="宋体" w:hAnsi="宋体" w:eastAsia="宋体" w:cs="宋体"/>
                <w:i w:val="0"/>
                <w:iCs w:val="0"/>
                <w:color w:val="000000"/>
                <w:sz w:val="22"/>
                <w:szCs w:val="22"/>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59C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D8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F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bl>
    <w:p w14:paraId="4452F8E6"/>
    <w:p w14:paraId="58E15241"/>
    <w:p w14:paraId="1B079FBC">
      <w:pPr>
        <w:rPr>
          <w:rFonts w:hint="eastAsia"/>
          <w:b/>
          <w:bCs/>
          <w:sz w:val="24"/>
          <w:szCs w:val="32"/>
          <w:lang w:val="en-US" w:eastAsia="zh-CN"/>
        </w:rPr>
      </w:pPr>
      <w:r>
        <w:rPr>
          <w:rFonts w:hint="eastAsia"/>
          <w:b/>
          <w:bCs/>
          <w:sz w:val="24"/>
          <w:szCs w:val="32"/>
          <w:lang w:val="en-US" w:eastAsia="zh-CN"/>
        </w:rPr>
        <w:t>3）.</w:t>
      </w:r>
    </w:p>
    <w:tbl>
      <w:tblPr>
        <w:tblStyle w:val="10"/>
        <w:tblW w:w="97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2"/>
        <w:gridCol w:w="1151"/>
        <w:gridCol w:w="1058"/>
        <w:gridCol w:w="3125"/>
        <w:gridCol w:w="595"/>
        <w:gridCol w:w="779"/>
        <w:gridCol w:w="2310"/>
      </w:tblGrid>
      <w:tr w14:paraId="4E4A1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9740" w:type="dxa"/>
            <w:gridSpan w:val="7"/>
            <w:tcBorders>
              <w:top w:val="single" w:color="000000" w:sz="4" w:space="0"/>
              <w:left w:val="single" w:color="000000" w:sz="4" w:space="0"/>
              <w:bottom w:val="nil"/>
              <w:right w:val="single" w:color="000000" w:sz="4" w:space="0"/>
            </w:tcBorders>
            <w:shd w:val="clear" w:color="auto" w:fill="auto"/>
            <w:vAlign w:val="center"/>
          </w:tcPr>
          <w:p w14:paraId="5D50AA9D">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40"/>
                <w:szCs w:val="40"/>
                <w:u w:val="none"/>
                <w:lang w:val="en-US" w:eastAsia="zh-CN" w:bidi="ar"/>
              </w:rPr>
              <w:t>钢结构检测清单</w:t>
            </w:r>
          </w:p>
        </w:tc>
      </w:tr>
      <w:tr w14:paraId="2A455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22" w:type="dxa"/>
            <w:tcBorders>
              <w:top w:val="single" w:color="000000" w:sz="4" w:space="0"/>
              <w:left w:val="single" w:color="000000" w:sz="4" w:space="0"/>
              <w:bottom w:val="nil"/>
              <w:right w:val="single" w:color="000000" w:sz="4" w:space="0"/>
            </w:tcBorders>
            <w:shd w:val="clear" w:color="auto" w:fill="auto"/>
            <w:vAlign w:val="center"/>
          </w:tcPr>
          <w:p w14:paraId="77C8535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151" w:type="dxa"/>
            <w:tcBorders>
              <w:top w:val="single" w:color="000000" w:sz="4" w:space="0"/>
              <w:left w:val="single" w:color="000000" w:sz="4" w:space="0"/>
              <w:bottom w:val="nil"/>
              <w:right w:val="single" w:color="000000" w:sz="4" w:space="0"/>
            </w:tcBorders>
            <w:shd w:val="clear" w:color="auto" w:fill="auto"/>
            <w:vAlign w:val="center"/>
          </w:tcPr>
          <w:p w14:paraId="714A725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检测产品/对象</w:t>
            </w:r>
          </w:p>
        </w:tc>
        <w:tc>
          <w:tcPr>
            <w:tcW w:w="1058" w:type="dxa"/>
            <w:tcBorders>
              <w:top w:val="single" w:color="000000" w:sz="4" w:space="0"/>
              <w:left w:val="single" w:color="000000" w:sz="4" w:space="0"/>
              <w:bottom w:val="nil"/>
              <w:right w:val="single" w:color="000000" w:sz="4" w:space="0"/>
            </w:tcBorders>
            <w:shd w:val="clear" w:color="auto" w:fill="auto"/>
            <w:vAlign w:val="center"/>
          </w:tcPr>
          <w:p w14:paraId="15CECC4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检测项目/参数</w:t>
            </w:r>
          </w:p>
        </w:tc>
        <w:tc>
          <w:tcPr>
            <w:tcW w:w="3125" w:type="dxa"/>
            <w:tcBorders>
              <w:top w:val="single" w:color="000000" w:sz="4" w:space="0"/>
              <w:left w:val="single" w:color="000000" w:sz="4" w:space="0"/>
              <w:bottom w:val="nil"/>
              <w:right w:val="single" w:color="000000" w:sz="4" w:space="0"/>
            </w:tcBorders>
            <w:shd w:val="clear" w:color="auto" w:fill="auto"/>
            <w:vAlign w:val="center"/>
          </w:tcPr>
          <w:p w14:paraId="544C4DB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抽检频率</w:t>
            </w:r>
          </w:p>
        </w:tc>
        <w:tc>
          <w:tcPr>
            <w:tcW w:w="595" w:type="dxa"/>
            <w:tcBorders>
              <w:top w:val="single" w:color="000000" w:sz="4" w:space="0"/>
              <w:left w:val="single" w:color="000000" w:sz="4" w:space="0"/>
              <w:bottom w:val="nil"/>
              <w:right w:val="single" w:color="000000" w:sz="4" w:space="0"/>
            </w:tcBorders>
            <w:shd w:val="clear" w:color="auto" w:fill="auto"/>
            <w:vAlign w:val="center"/>
          </w:tcPr>
          <w:p w14:paraId="2865966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779" w:type="dxa"/>
            <w:tcBorders>
              <w:top w:val="single" w:color="000000" w:sz="4" w:space="0"/>
              <w:left w:val="single" w:color="000000" w:sz="4" w:space="0"/>
              <w:bottom w:val="nil"/>
              <w:right w:val="single" w:color="000000" w:sz="4" w:space="0"/>
            </w:tcBorders>
            <w:shd w:val="clear" w:color="auto" w:fill="auto"/>
            <w:vAlign w:val="center"/>
          </w:tcPr>
          <w:p w14:paraId="002926C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暂定数量</w:t>
            </w:r>
          </w:p>
        </w:tc>
        <w:tc>
          <w:tcPr>
            <w:tcW w:w="2310" w:type="dxa"/>
            <w:tcBorders>
              <w:top w:val="single" w:color="000000" w:sz="4" w:space="0"/>
              <w:left w:val="single" w:color="000000" w:sz="4" w:space="0"/>
              <w:bottom w:val="nil"/>
              <w:right w:val="single" w:color="000000" w:sz="4" w:space="0"/>
            </w:tcBorders>
            <w:shd w:val="clear" w:color="auto" w:fill="auto"/>
            <w:vAlign w:val="center"/>
          </w:tcPr>
          <w:p w14:paraId="75025C7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收费指导价依据</w:t>
            </w:r>
          </w:p>
        </w:tc>
      </w:tr>
      <w:tr w14:paraId="03530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FD4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EA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焊缝质量</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C5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磁粉</w:t>
            </w:r>
          </w:p>
        </w:tc>
        <w:tc>
          <w:tcPr>
            <w:tcW w:w="3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54D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按《钢结构工程施工质量验收标准》（GB50205-2020）表5.2.4规定，一级焊缝按100%进行检测，二级厂家制作焊缝按焊缝长度20%且不少于200mm进行抽检，二级现场安装焊缝按焊缝条数20%且不少于3条进行抽检。</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70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米</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BF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7621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粤建检协[2015]8号广东省房屋建筑和市政工程工程质量安全检测收费指导价第2.17.1</w:t>
            </w:r>
          </w:p>
        </w:tc>
      </w:tr>
      <w:tr w14:paraId="75664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65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70B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涂层质量</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4C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防腐涂层厚度</w:t>
            </w:r>
          </w:p>
        </w:tc>
        <w:tc>
          <w:tcPr>
            <w:tcW w:w="3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7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按《钢结构工程施工质量验收标准》（GB50205-2020）第13.2.3条规定，按构件数10%且不少于3件进场抽检。</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FDB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构件</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29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941D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粤建检协[2015]8号广东省房屋建筑和市政工程工程质量安全检测收费指导价第2.17.8</w:t>
            </w:r>
          </w:p>
        </w:tc>
      </w:tr>
      <w:tr w14:paraId="70AB9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BC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E9D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涂层质量</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42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防火涂层厚度</w:t>
            </w:r>
          </w:p>
        </w:tc>
        <w:tc>
          <w:tcPr>
            <w:tcW w:w="3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C7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按《钢结构工程施工质量验收标准》（GB50205-2020）第13.4.3条规定，按构件数10%且不少于3件进场抽检。</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3E4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构件</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DCB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85D77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粤建检协[2015]8号广东省房屋建筑和市政工程工程质量安全检测收费指导价第2.17.9</w:t>
            </w:r>
          </w:p>
        </w:tc>
      </w:tr>
      <w:tr w14:paraId="2A479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1F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6106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钢材原材</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725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拉伸、弯曲</w:t>
            </w:r>
          </w:p>
        </w:tc>
        <w:tc>
          <w:tcPr>
            <w:tcW w:w="3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DEDE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同一牌号、同一炉号、同一质量等级、同一品种、同一规格、同一热处理为验收批，重量不大于60吨</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75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A4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1A60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粤建检协[2015]8号广东省房屋建筑和市政工程工程质量安全检测收费指导价第4.16.1</w:t>
            </w:r>
          </w:p>
        </w:tc>
      </w:tr>
      <w:tr w14:paraId="3267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90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85D19">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12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冲击试验</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C9C2A">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C6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CD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E538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粤建检协[2015]8号广东省房屋建筑和市政工程工程质量安全检测收费指导价第4.16.5</w:t>
            </w:r>
          </w:p>
        </w:tc>
      </w:tr>
      <w:tr w14:paraId="25D08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451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66B8CD">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745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Z向性能</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C24F8">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F3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A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21C7B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粤建检协[2015]8号广东省房屋建筑和市政工程工程质量安全检测收费指导价第4.16.8</w:t>
            </w:r>
          </w:p>
        </w:tc>
      </w:tr>
      <w:tr w14:paraId="38474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34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25A9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焊接材料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A6B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直径</w:t>
            </w:r>
          </w:p>
        </w:tc>
        <w:tc>
          <w:tcPr>
            <w:tcW w:w="3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D63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每批药芯焊丝应由同一批号外皮材料、同一批号主要药粉原料、以同样的配方和制造工艺制成，每批最高质量为10 t。</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EC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019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1BDDB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粤建检协[2015]8号广东省房屋建筑和市政工程工程质量安全检测收费指导价第4.31.1</w:t>
            </w:r>
          </w:p>
        </w:tc>
      </w:tr>
      <w:tr w14:paraId="2E81E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355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B819E1">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AAD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长度尺寸偏差</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4A6A45">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98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BCA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4F06E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粤建检协[2015]8号广东省房屋建筑和市政工程工程质量安全检测收费指导价第4.31.1</w:t>
            </w:r>
          </w:p>
        </w:tc>
      </w:tr>
      <w:tr w14:paraId="4E959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BF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38337">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605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偏心(不圆)度</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E70E84">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B1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30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3D09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粤建检协[2015]8号广东省房屋建筑和市政工程工程质量安全检测收费指导价第4.31.2</w:t>
            </w:r>
          </w:p>
        </w:tc>
      </w:tr>
      <w:tr w14:paraId="2AC8F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4D9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00CE56">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6D5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熔敷金属拉伸试验</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913C7">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44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58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32C8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粤建检协[2015]8号广东省房屋建筑和市政工程工程质量安全检测收费指导价第4.31.3</w:t>
            </w:r>
          </w:p>
        </w:tc>
      </w:tr>
      <w:tr w14:paraId="4BB85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F15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181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钢结构高强螺栓连接（连接副）</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7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螺母、垫片、螺栓硬度</w:t>
            </w:r>
          </w:p>
        </w:tc>
        <w:tc>
          <w:tcPr>
            <w:tcW w:w="3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FA2D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每3000套为一批</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E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点</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3E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7EE4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粤建检协[2015]8号广东省房屋建筑和市政工程工程质量安全检测收费指导价第4.19.8</w:t>
            </w:r>
          </w:p>
        </w:tc>
      </w:tr>
      <w:tr w14:paraId="6D6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FC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FBD22">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9F1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扭矩系数</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D40447">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9A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2C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1D92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粤建检协[2015]8号广东省房屋建筑和市政工程工程质量安全检测收费指导价第4.19.5</w:t>
            </w:r>
          </w:p>
        </w:tc>
      </w:tr>
      <w:tr w14:paraId="4495A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B8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D15C8">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A4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紧固轴力</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AEA30">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86E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F8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7CFEA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粤建检协[2015]8号广东省房屋建筑和市政工程工程质量安全检测收费指导价第4.19.6</w:t>
            </w:r>
          </w:p>
        </w:tc>
      </w:tr>
      <w:tr w14:paraId="522AF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DD3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D48AE">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005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螺栓实物拉力</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5ADC5">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6D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D8F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A1EC6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粤建检协[2015]8号广东省房屋建筑和市政工程工程质量安全检测收费指导价第4.19.3</w:t>
            </w:r>
          </w:p>
        </w:tc>
      </w:tr>
      <w:tr w14:paraId="71995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DB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BA8F5F">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A5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螺母保证载荷</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8ECC8A">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D5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BF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5CAA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粤建检协[2015]8号广东省房屋建筑和市政工程工程质量安全检测收费指导价第4.19.4</w:t>
            </w:r>
          </w:p>
        </w:tc>
      </w:tr>
      <w:tr w14:paraId="21E46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F4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B1988">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039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楔负载试验</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3A4B9">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F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4D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7ED82A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粤建检协[2015]8号广东省房屋建筑和市政工程工程质量安全检测收费指导价第4.19.2</w:t>
            </w:r>
          </w:p>
        </w:tc>
      </w:tr>
      <w:tr w14:paraId="3E194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4E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DF3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高强度螺栓连接摩擦面</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57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抗滑移系数</w:t>
            </w:r>
          </w:p>
        </w:tc>
        <w:tc>
          <w:tcPr>
            <w:tcW w:w="3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225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按照50205-2020进行检验时，以5万套螺栓用量为一个批次，不足5万套时，默认为一个批次；</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C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5A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B844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粤建检协[2015]8号广东省房屋建筑和市政工程工程质量安全检测收费指导价第4.19.7</w:t>
            </w:r>
          </w:p>
        </w:tc>
      </w:tr>
      <w:tr w14:paraId="24A1B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DD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7340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钢结构防腐涂料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C5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容器中状态</w:t>
            </w:r>
          </w:p>
        </w:tc>
        <w:tc>
          <w:tcPr>
            <w:tcW w:w="3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7A00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按不同材料进场批次，每种规格每批次抽1组</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83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69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32C9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粤建检协[2015]8号广东省房屋建筑和市政工程工程质量安全检测收费指导价第4.35.24</w:t>
            </w:r>
          </w:p>
        </w:tc>
      </w:tr>
      <w:tr w14:paraId="26BF7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777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C81C7">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A83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施工性</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369B03">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F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B5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20F7F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粤建检协[2015]8号广东省房屋建筑和市政工程工程质量安全检测收费指导价第4.35.26</w:t>
            </w:r>
          </w:p>
        </w:tc>
      </w:tr>
      <w:tr w14:paraId="4E4A3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500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907CE6">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D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涂膜外观（面漆检）</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AA900">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24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E7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31166B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粤建检协[2015]8号广东省房屋建筑和市政工程工程质量安全检测收费指导价第4.35.28</w:t>
            </w:r>
          </w:p>
        </w:tc>
      </w:tr>
      <w:tr w14:paraId="691B9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8B3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116C98">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405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附着力（划格法）</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93239">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B8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871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68D71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粤建检协[2015]8号广东省房屋建筑和市政工程工程质量安全检测收费指导价第4.35.5</w:t>
            </w:r>
          </w:p>
        </w:tc>
      </w:tr>
      <w:tr w14:paraId="35B95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2A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DB8CC">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EE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干燥时间（表干）</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008D8">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7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17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96B5F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粤建检协[2015]8号广东省房屋建筑和市政工程工程质量安全检测收费指导价第4.35.7</w:t>
            </w:r>
          </w:p>
        </w:tc>
      </w:tr>
      <w:tr w14:paraId="7F3DF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4CE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53E7C7">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6A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耐弯曲性</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051021">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12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125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6C08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粤建检协[2015]8号广东省房屋建筑和市政工程工程质量安全检测收费指导价第4.35.19</w:t>
            </w:r>
          </w:p>
        </w:tc>
      </w:tr>
      <w:tr w14:paraId="19A2B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5C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2181A">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A8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耐冲击性</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15501">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B66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CE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B7AA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粤建检协[2015]8号广东省房屋建筑和市政工程工程质量安全检测收费指导价第4.35.11</w:t>
            </w:r>
          </w:p>
        </w:tc>
      </w:tr>
      <w:tr w14:paraId="4343F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48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824B8">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9C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耐水性</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495A8">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3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D4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D531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粤建检协[2015]8号广东省房屋建筑和市政工程工程质量安全检测收费指导价第4.35.17</w:t>
            </w:r>
          </w:p>
        </w:tc>
      </w:tr>
      <w:tr w14:paraId="20B84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32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E9DA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钢结构防火涂料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AE5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容器中状态</w:t>
            </w:r>
          </w:p>
        </w:tc>
        <w:tc>
          <w:tcPr>
            <w:tcW w:w="3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916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同一厂家的同一品种、同一类型的进厂材料应至少抽取一组样品进行复验</w:t>
            </w: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FC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98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893A6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粤建检协[2015]8号广东省房屋建筑和市政工程工程质量安全检测收费指导价第4.35.24</w:t>
            </w:r>
          </w:p>
        </w:tc>
      </w:tr>
      <w:tr w14:paraId="1FD45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5AC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5F8A0">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B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粘结强度</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172C7F">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2D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BC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6E37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粤建检协[2015]8号广东省房屋建筑和市政工程工程质量安全检测收费指导价第4.35.14</w:t>
            </w:r>
          </w:p>
        </w:tc>
      </w:tr>
      <w:tr w14:paraId="4163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21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2A53A">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13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初期干燥抗裂性</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D239A3">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FCC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B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2CEC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粤建检协[2015]8号广东省房屋建筑和市政工程工程质量安全检测收费指导价第4.35.2</w:t>
            </w:r>
          </w:p>
        </w:tc>
      </w:tr>
      <w:tr w14:paraId="2BAE3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5" w:hRule="atLeast"/>
        </w:trPr>
        <w:tc>
          <w:tcPr>
            <w:tcW w:w="7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7C8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9FD75">
            <w:pPr>
              <w:jc w:val="center"/>
              <w:rPr>
                <w:rFonts w:hint="eastAsia" w:ascii="宋体" w:hAnsi="宋体" w:eastAsia="宋体" w:cs="宋体"/>
                <w:i w:val="0"/>
                <w:iCs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CCC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抗压强度（非膨胀型检）</w:t>
            </w:r>
          </w:p>
        </w:tc>
        <w:tc>
          <w:tcPr>
            <w:tcW w:w="3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1996B">
            <w:pPr>
              <w:jc w:val="center"/>
              <w:rPr>
                <w:rFonts w:hint="eastAsia" w:ascii="宋体" w:hAnsi="宋体" w:eastAsia="宋体" w:cs="宋体"/>
                <w:i w:val="0"/>
                <w:iCs w:val="0"/>
                <w:color w:val="000000"/>
                <w:sz w:val="22"/>
                <w:szCs w:val="22"/>
                <w:u w:val="none"/>
              </w:rPr>
            </w:pPr>
          </w:p>
        </w:tc>
        <w:tc>
          <w:tcPr>
            <w:tcW w:w="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36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58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10"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B3A6B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粤建检协[2015]8号广东省房屋建筑和市政工程工程质量安全检测收费指导价第4.35.8</w:t>
            </w:r>
          </w:p>
        </w:tc>
      </w:tr>
    </w:tbl>
    <w:p w14:paraId="0E8A93AF">
      <w:pPr>
        <w:rPr>
          <w:rFonts w:hint="default"/>
          <w:lang w:val="en-US" w:eastAsia="zh-CN"/>
        </w:rPr>
      </w:pPr>
    </w:p>
    <w:p w14:paraId="24766C27">
      <w:pPr>
        <w:rPr>
          <w:rFonts w:hint="eastAsia"/>
          <w:b/>
          <w:bCs/>
          <w:sz w:val="24"/>
          <w:szCs w:val="32"/>
          <w:lang w:val="en-US" w:eastAsia="zh-CN"/>
        </w:rPr>
      </w:pPr>
      <w:r>
        <w:rPr>
          <w:rFonts w:hint="eastAsia"/>
          <w:b/>
          <w:bCs/>
          <w:sz w:val="24"/>
          <w:szCs w:val="32"/>
          <w:lang w:val="en-US" w:eastAsia="zh-CN"/>
        </w:rPr>
        <w:t>4）.</w:t>
      </w:r>
    </w:p>
    <w:tbl>
      <w:tblPr>
        <w:tblStyle w:val="10"/>
        <w:tblW w:w="97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8"/>
        <w:gridCol w:w="1544"/>
        <w:gridCol w:w="1817"/>
        <w:gridCol w:w="2604"/>
        <w:gridCol w:w="765"/>
        <w:gridCol w:w="765"/>
        <w:gridCol w:w="1537"/>
      </w:tblGrid>
      <w:tr w14:paraId="15461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97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AE65F9">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40"/>
                <w:szCs w:val="40"/>
                <w:u w:val="none"/>
                <w:lang w:val="en-US" w:eastAsia="zh-CN" w:bidi="ar"/>
              </w:rPr>
              <w:t>幕墙工程检测清单</w:t>
            </w:r>
          </w:p>
        </w:tc>
      </w:tr>
      <w:tr w14:paraId="70CE0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CD52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C5E0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检测产品/对象</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B18F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检测项目/参数</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B63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抽检频率</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FC60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AFB4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暂定数量</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BD3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收费指导价依据</w:t>
            </w:r>
          </w:p>
        </w:tc>
      </w:tr>
      <w:tr w14:paraId="21D65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9"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E7B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027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门诊部竖明横隐玻璃幕墙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（宽3.6m×高4.2m以内）</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46F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气密性能、水密性能、抗风压性能、层间变形性能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795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同类建筑幕墙抽一个试验结构。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AA4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件</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C2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59B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粤建检协[2015]8号第5.1.1-5.1.4</w:t>
            </w:r>
          </w:p>
        </w:tc>
      </w:tr>
      <w:tr w14:paraId="382BB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9"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72D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4FD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门诊部横明竖隐玻璃幕墙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（宽8m×高8.4m以内）</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FA1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气密性能、水密性能、抗风压性能、层间变形性能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0F3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同类建筑幕墙抽一个试验结构。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F25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件</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B07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13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粤建检协[2015]8号第5.1.1-5.1.4</w:t>
            </w:r>
          </w:p>
        </w:tc>
      </w:tr>
      <w:tr w14:paraId="227FA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9"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1E1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C16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住院部半隐框玻璃幕墙（宽3.6m×高4.2m以内）</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C1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气密性能、水密性能、抗风压性能、层间变形性能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F0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同类建筑幕墙抽一个试验结构。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B44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件</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599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71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粤建检协[2015]8号第5.1.1-5.1.4</w:t>
            </w:r>
          </w:p>
        </w:tc>
      </w:tr>
      <w:tr w14:paraId="0C6B9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3"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E4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28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住院部玻璃铝板幕墙（宽3.6m×高4.2m以内）</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8CE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气密性能、水密性能、抗风压性能、层间变形性能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BFB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同类建筑幕墙抽一个试验结构。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8F4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件</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3E2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2F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粤建检协[2015]8号第5.1.1-5.1.4</w:t>
            </w:r>
          </w:p>
        </w:tc>
      </w:tr>
      <w:tr w14:paraId="12908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9"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C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511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住院部铝板幕墙（宽3.6m×高4.2m以内）</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D5A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气密性能、水密性能、抗风压性能、层间变形性能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2A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同类建筑幕墙抽一个试验结构。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F2B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件</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E87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F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粤建检协[2015]8号第5.1.1-5.1.4</w:t>
            </w:r>
          </w:p>
        </w:tc>
      </w:tr>
      <w:tr w14:paraId="1E1E1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5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9C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551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硅酮结构密封胶</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19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结构胶相容性、粘结性</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2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16776-2005建筑用硅酮结构密封胶；检测数量：同一生产厂家的同一种产品抽查不少于1组，连续生产时每3吨为一批，不足3吨也为一批；间断生产时，每釜投料为一批。</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414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B41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53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粤建检协[2015]8号第5.4.1、5.4.2</w:t>
            </w:r>
          </w:p>
        </w:tc>
      </w:tr>
      <w:tr w14:paraId="54313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5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4E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FC18A">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5FB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结构胶邵氏硬度、23℃拉伸粘结性</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42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16776-2005建筑用硅酮结构密封胶；检测数量：同一生产厂家的同一种产品抽查不少于1组，连续生产时每3吨为一批，不足3吨也为一批；间断生产时，每釜投料为一批。</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F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C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8DD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粤建检协[2015]8号第5.4.8、5.4.9</w:t>
            </w:r>
          </w:p>
        </w:tc>
      </w:tr>
      <w:tr w14:paraId="47C73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5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03E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5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DCB5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硅酮耐候密封胶</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AB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密封胶胶相容性、粘结性</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15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16776-2005建筑用硅酮结构密封胶；检测数量：同一生产厂家的同一种产品抽查不少于1组；以同一品种、同一级别的产品每5t为一批进行检验，不足5t也可为一批。</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EE1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C6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96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粤建检协[2015]8号第5.4.1、5.4.2</w:t>
            </w:r>
          </w:p>
        </w:tc>
      </w:tr>
      <w:tr w14:paraId="4F7CB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5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23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E8D2A">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DF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密封胶弹性恢复率、拉伸模量、定伸粘结性</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A03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16776-2005 建筑用硅酮结构密封胶；检测数量：同一生产厂家的同一种产品抽查不少于1组；以同一品种、同一级别的产品每5t为一批进行检验，不足5t也可为一批。</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894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28D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CA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粤建检协[2015]8号第5.5.6-5.5.8</w:t>
            </w:r>
          </w:p>
        </w:tc>
      </w:tr>
      <w:tr w14:paraId="5FC0E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84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44" w:type="dxa"/>
            <w:tcBorders>
              <w:top w:val="nil"/>
              <w:left w:val="single" w:color="000000" w:sz="4" w:space="0"/>
              <w:bottom w:val="nil"/>
              <w:right w:val="single" w:color="000000" w:sz="4" w:space="0"/>
            </w:tcBorders>
            <w:shd w:val="clear" w:color="auto" w:fill="auto"/>
            <w:vAlign w:val="center"/>
          </w:tcPr>
          <w:p w14:paraId="5BBA9D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中空玻璃</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BC4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密封性能</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A9F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50411-2019</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检验方法：进场时施工现场抽样复验；验收时核查复验报告，实验室检测。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检测数量：同一生产厂家的同一种产品抽查不少于1组，每组10件样品。</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7D8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17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6C5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 第5.9.10</w:t>
            </w:r>
          </w:p>
        </w:tc>
      </w:tr>
      <w:tr w14:paraId="0274A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79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F63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钢化玻璃</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3E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表面应力</w:t>
            </w:r>
          </w:p>
        </w:tc>
        <w:tc>
          <w:tcPr>
            <w:tcW w:w="2604" w:type="dxa"/>
            <w:vMerge w:val="restart"/>
            <w:tcBorders>
              <w:top w:val="single" w:color="000000" w:sz="4" w:space="0"/>
              <w:left w:val="single" w:color="000000" w:sz="4" w:space="0"/>
              <w:bottom w:val="nil"/>
              <w:right w:val="single" w:color="000000" w:sz="4" w:space="0"/>
            </w:tcBorders>
            <w:shd w:val="clear" w:color="auto" w:fill="auto"/>
            <w:vAlign w:val="center"/>
          </w:tcPr>
          <w:p w14:paraId="13E3F3E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 15763.2-2005；检测数量：同一生产厂家的同一种产品抽查不少于1组；当该批产品批量大于1000块时，以每1000块为1批分批抽取试样。</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2E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C3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C5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粤建检协[2015]8号第5.9.4</w:t>
            </w:r>
          </w:p>
        </w:tc>
      </w:tr>
      <w:tr w14:paraId="2800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8A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F8F90">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0F3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碎片状态</w:t>
            </w:r>
          </w:p>
        </w:tc>
        <w:tc>
          <w:tcPr>
            <w:tcW w:w="2604" w:type="dxa"/>
            <w:vMerge w:val="continue"/>
            <w:tcBorders>
              <w:top w:val="single" w:color="000000" w:sz="4" w:space="0"/>
              <w:left w:val="single" w:color="000000" w:sz="4" w:space="0"/>
              <w:bottom w:val="nil"/>
              <w:right w:val="single" w:color="000000" w:sz="4" w:space="0"/>
            </w:tcBorders>
            <w:shd w:val="clear" w:color="auto" w:fill="auto"/>
            <w:vAlign w:val="center"/>
          </w:tcPr>
          <w:p w14:paraId="5D5363F6">
            <w:pPr>
              <w:jc w:val="left"/>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138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D33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C0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粤建检协[2015]8号第5.9.5</w:t>
            </w:r>
          </w:p>
        </w:tc>
      </w:tr>
      <w:tr w14:paraId="40615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544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0F9CE">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59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抗冲击性</w:t>
            </w:r>
          </w:p>
        </w:tc>
        <w:tc>
          <w:tcPr>
            <w:tcW w:w="2604" w:type="dxa"/>
            <w:vMerge w:val="continue"/>
            <w:tcBorders>
              <w:top w:val="single" w:color="000000" w:sz="4" w:space="0"/>
              <w:left w:val="single" w:color="000000" w:sz="4" w:space="0"/>
              <w:bottom w:val="nil"/>
              <w:right w:val="single" w:color="000000" w:sz="4" w:space="0"/>
            </w:tcBorders>
            <w:shd w:val="clear" w:color="auto" w:fill="auto"/>
            <w:vAlign w:val="center"/>
          </w:tcPr>
          <w:p w14:paraId="22982849">
            <w:pPr>
              <w:jc w:val="left"/>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76E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02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A9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粤建检协[2015]8号第5.9.6</w:t>
            </w:r>
          </w:p>
        </w:tc>
      </w:tr>
      <w:tr w14:paraId="55FDB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3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D2E734">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43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霰弹袋冲击性能</w:t>
            </w:r>
          </w:p>
        </w:tc>
        <w:tc>
          <w:tcPr>
            <w:tcW w:w="2604" w:type="dxa"/>
            <w:vMerge w:val="continue"/>
            <w:tcBorders>
              <w:top w:val="single" w:color="000000" w:sz="4" w:space="0"/>
              <w:left w:val="single" w:color="000000" w:sz="4" w:space="0"/>
              <w:bottom w:val="nil"/>
              <w:right w:val="single" w:color="000000" w:sz="4" w:space="0"/>
            </w:tcBorders>
            <w:shd w:val="clear" w:color="auto" w:fill="auto"/>
            <w:vAlign w:val="center"/>
          </w:tcPr>
          <w:p w14:paraId="08F6172C">
            <w:pPr>
              <w:jc w:val="left"/>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923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C0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7FB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粤建检协[2015]8号第5.9.7</w:t>
            </w:r>
          </w:p>
        </w:tc>
      </w:tr>
      <w:tr w14:paraId="09C75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EF4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09E2B">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258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耐热冲击性能</w:t>
            </w:r>
          </w:p>
        </w:tc>
        <w:tc>
          <w:tcPr>
            <w:tcW w:w="2604" w:type="dxa"/>
            <w:vMerge w:val="continue"/>
            <w:tcBorders>
              <w:top w:val="single" w:color="000000" w:sz="4" w:space="0"/>
              <w:left w:val="single" w:color="000000" w:sz="4" w:space="0"/>
              <w:bottom w:val="nil"/>
              <w:right w:val="single" w:color="000000" w:sz="4" w:space="0"/>
            </w:tcBorders>
            <w:shd w:val="clear" w:color="auto" w:fill="auto"/>
            <w:vAlign w:val="center"/>
          </w:tcPr>
          <w:p w14:paraId="0168BDEA">
            <w:pPr>
              <w:jc w:val="left"/>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28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20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484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粤建检协[2015]8号第5.9.6</w:t>
            </w:r>
          </w:p>
        </w:tc>
      </w:tr>
      <w:tr w14:paraId="494A2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10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5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A0E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夹层玻璃</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D76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落球冲击性</w:t>
            </w:r>
          </w:p>
        </w:tc>
        <w:tc>
          <w:tcPr>
            <w:tcW w:w="2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ED6F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21"/>
                <w:lang w:val="en-US" w:eastAsia="zh-CN" w:bidi="ar"/>
              </w:rPr>
              <w:t>GB 15763.2-2005</w:t>
            </w:r>
            <w:r>
              <w:rPr>
                <w:rStyle w:val="21"/>
                <w:lang w:val="en-US" w:eastAsia="zh-CN" w:bidi="ar"/>
              </w:rPr>
              <w:br w:type="textWrapping"/>
            </w:r>
            <w:r>
              <w:rPr>
                <w:rStyle w:val="22"/>
                <w:lang w:val="en-US" w:eastAsia="zh-CN" w:bidi="ar"/>
              </w:rPr>
              <w:t>检验方法：进场时施工现场抽样复验；验收时核查复验报告，实验室检测。</w:t>
            </w:r>
            <w:r>
              <w:rPr>
                <w:rStyle w:val="23"/>
                <w:rFonts w:eastAsia="宋体"/>
                <w:lang w:val="en-US" w:eastAsia="zh-CN" w:bidi="ar"/>
              </w:rPr>
              <w:br w:type="textWrapping"/>
            </w:r>
            <w:r>
              <w:rPr>
                <w:rStyle w:val="22"/>
                <w:lang w:val="en-US" w:eastAsia="zh-CN" w:bidi="ar"/>
              </w:rPr>
              <w:t>检测数量：同一生产厂家的同一种产品抽查不少于</w:t>
            </w:r>
            <w:r>
              <w:rPr>
                <w:rStyle w:val="23"/>
                <w:rFonts w:eastAsia="宋体"/>
                <w:lang w:val="en-US" w:eastAsia="zh-CN" w:bidi="ar"/>
              </w:rPr>
              <w:t>1</w:t>
            </w:r>
            <w:r>
              <w:rPr>
                <w:rStyle w:val="22"/>
                <w:lang w:val="en-US" w:eastAsia="zh-CN" w:bidi="ar"/>
              </w:rPr>
              <w:t>组；当该批产品批量大于</w:t>
            </w:r>
            <w:r>
              <w:rPr>
                <w:rStyle w:val="23"/>
                <w:rFonts w:eastAsia="宋体"/>
                <w:lang w:val="en-US" w:eastAsia="zh-CN" w:bidi="ar"/>
              </w:rPr>
              <w:t>1000</w:t>
            </w:r>
            <w:r>
              <w:rPr>
                <w:rStyle w:val="22"/>
                <w:lang w:val="en-US" w:eastAsia="zh-CN" w:bidi="ar"/>
              </w:rPr>
              <w:t>块时，以每</w:t>
            </w:r>
            <w:r>
              <w:rPr>
                <w:rStyle w:val="23"/>
                <w:rFonts w:eastAsia="宋体"/>
                <w:lang w:val="en-US" w:eastAsia="zh-CN" w:bidi="ar"/>
              </w:rPr>
              <w:t>1000</w:t>
            </w:r>
            <w:r>
              <w:rPr>
                <w:rStyle w:val="22"/>
                <w:lang w:val="en-US" w:eastAsia="zh-CN" w:bidi="ar"/>
              </w:rPr>
              <w:t>块为</w:t>
            </w:r>
            <w:r>
              <w:rPr>
                <w:rStyle w:val="23"/>
                <w:rFonts w:eastAsia="宋体"/>
                <w:lang w:val="en-US" w:eastAsia="zh-CN" w:bidi="ar"/>
              </w:rPr>
              <w:t>1</w:t>
            </w:r>
            <w:r>
              <w:rPr>
                <w:rStyle w:val="22"/>
                <w:lang w:val="en-US" w:eastAsia="zh-CN" w:bidi="ar"/>
              </w:rPr>
              <w:t>批分批抽取试样。</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0E6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9E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D1A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粤建检协[2015]8号第5.9.8</w:t>
            </w:r>
          </w:p>
        </w:tc>
      </w:tr>
      <w:tr w14:paraId="402AE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7"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D15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8D0D9">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313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霰弹袋冲击性能</w:t>
            </w:r>
          </w:p>
        </w:tc>
        <w:tc>
          <w:tcPr>
            <w:tcW w:w="2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82504">
            <w:pPr>
              <w:jc w:val="center"/>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5E1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D4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BC6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粤建检协[2015]8号第5.9.7</w:t>
            </w:r>
          </w:p>
        </w:tc>
      </w:tr>
      <w:tr w14:paraId="1FB9B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1"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FC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51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化学锚栓</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202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抗拔</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CF6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JGJ/T 139-2020 玻璃幕墙工程质量检验标准：对非生命线工程的结构构件，应取每一检验批锚固件总数的0.1%且不少于5件进行检验。</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18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A87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8A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粤建检协[2015]8号第2.9.1</w:t>
            </w:r>
          </w:p>
        </w:tc>
      </w:tr>
      <w:tr w14:paraId="3086D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DB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5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4485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护栏</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8BE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抗水平荷载性能</w:t>
            </w:r>
          </w:p>
        </w:tc>
        <w:tc>
          <w:tcPr>
            <w:tcW w:w="2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5A1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JGJ/T 470-2019 建筑防护栏杆技术标准： 1.设计、 材料、 工艺和施工条件相同的防护栏杆工程，每 500m 为一个检验批， 不足 500m 应划分为一个检验批；每个检验批每 100m 应至少查一处， 没出不得少于 10m； 2.检验批的划分也可由建设单位和施工单位根据工程情况共同商定。</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3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92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58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粤建检协[2015]8号第5.11.1</w:t>
            </w:r>
          </w:p>
        </w:tc>
      </w:tr>
      <w:tr w14:paraId="60947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FD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5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C7C494">
            <w:pPr>
              <w:jc w:val="center"/>
              <w:rPr>
                <w:rFonts w:hint="eastAsia" w:ascii="宋体" w:hAnsi="宋体" w:eastAsia="宋体" w:cs="宋体"/>
                <w:i w:val="0"/>
                <w:iCs w:val="0"/>
                <w:color w:val="000000"/>
                <w:sz w:val="24"/>
                <w:szCs w:val="24"/>
                <w:u w:val="none"/>
              </w:rPr>
            </w:pP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B34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耐软重物撞击性能</w:t>
            </w:r>
          </w:p>
        </w:tc>
        <w:tc>
          <w:tcPr>
            <w:tcW w:w="2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0945A4">
            <w:pPr>
              <w:jc w:val="center"/>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B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D0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EA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粤建检协[2015]8号第5.11.3</w:t>
            </w:r>
          </w:p>
        </w:tc>
      </w:tr>
      <w:tr w14:paraId="589D5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3"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98D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1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84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3mm厚铝单板</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BA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涂层厚度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漆膜硬度</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附着性</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65E47">
            <w:pPr>
              <w:jc w:val="center"/>
              <w:rPr>
                <w:rFonts w:hint="eastAsia" w:ascii="宋体" w:hAnsi="宋体" w:eastAsia="宋体" w:cs="宋体"/>
                <w:i w:val="0"/>
                <w:iCs w:val="0"/>
                <w:color w:val="000000"/>
                <w:sz w:val="20"/>
                <w:szCs w:val="20"/>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F5C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41A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top"/>
          </w:tcPr>
          <w:p w14:paraId="5776FF9D">
            <w:pPr>
              <w:jc w:val="center"/>
              <w:rPr>
                <w:rFonts w:hint="default" w:ascii="Times New Roman" w:hAnsi="Times New Roman" w:eastAsia="宋体" w:cs="Times New Roman"/>
                <w:i w:val="0"/>
                <w:iCs w:val="0"/>
                <w:color w:val="000000"/>
                <w:sz w:val="20"/>
                <w:szCs w:val="20"/>
                <w:u w:val="none"/>
              </w:rPr>
            </w:pPr>
          </w:p>
        </w:tc>
      </w:tr>
      <w:tr w14:paraId="1CD29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9"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8B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60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铝合金型材（主柱）</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B2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壁厚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膜厚</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漆膜硬度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附着性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抗拉强度、伸长率</w:t>
            </w:r>
          </w:p>
        </w:tc>
        <w:tc>
          <w:tcPr>
            <w:tcW w:w="2604" w:type="dxa"/>
            <w:tcBorders>
              <w:top w:val="single" w:color="000000" w:sz="4" w:space="0"/>
              <w:left w:val="nil"/>
              <w:bottom w:val="single" w:color="000000" w:sz="4" w:space="0"/>
              <w:right w:val="single" w:color="000000" w:sz="4" w:space="0"/>
            </w:tcBorders>
            <w:shd w:val="clear" w:color="auto" w:fill="auto"/>
            <w:vAlign w:val="center"/>
          </w:tcPr>
          <w:p w14:paraId="4D826D23">
            <w:pPr>
              <w:jc w:val="center"/>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E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155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top"/>
          </w:tcPr>
          <w:p w14:paraId="7E0AE1A1">
            <w:pPr>
              <w:jc w:val="center"/>
              <w:rPr>
                <w:rFonts w:hint="default" w:ascii="Times New Roman" w:hAnsi="Times New Roman" w:eastAsia="宋体" w:cs="Times New Roman"/>
                <w:i w:val="0"/>
                <w:iCs w:val="0"/>
                <w:color w:val="000000"/>
                <w:sz w:val="20"/>
                <w:szCs w:val="20"/>
                <w:u w:val="none"/>
              </w:rPr>
            </w:pPr>
          </w:p>
        </w:tc>
      </w:tr>
      <w:tr w14:paraId="7C58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3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51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钢材</w:t>
            </w:r>
          </w:p>
        </w:tc>
        <w:tc>
          <w:tcPr>
            <w:tcW w:w="1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1DB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拉伸、弯曲</w:t>
            </w:r>
          </w:p>
        </w:tc>
        <w:tc>
          <w:tcPr>
            <w:tcW w:w="2604" w:type="dxa"/>
            <w:tcBorders>
              <w:top w:val="single" w:color="000000" w:sz="4" w:space="0"/>
              <w:left w:val="nil"/>
              <w:bottom w:val="single" w:color="000000" w:sz="4" w:space="0"/>
              <w:right w:val="single" w:color="000000" w:sz="4" w:space="0"/>
            </w:tcBorders>
            <w:shd w:val="clear" w:color="auto" w:fill="auto"/>
            <w:vAlign w:val="center"/>
          </w:tcPr>
          <w:p w14:paraId="17F909C5">
            <w:pPr>
              <w:jc w:val="center"/>
              <w:rPr>
                <w:rFonts w:hint="eastAsia" w:ascii="宋体" w:hAnsi="宋体" w:eastAsia="宋体" w:cs="宋体"/>
                <w:i w:val="0"/>
                <w:iCs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0A2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187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top"/>
          </w:tcPr>
          <w:p w14:paraId="2636FD7B">
            <w:pPr>
              <w:jc w:val="center"/>
              <w:rPr>
                <w:rFonts w:hint="default" w:ascii="Times New Roman" w:hAnsi="Times New Roman" w:eastAsia="宋体" w:cs="Times New Roman"/>
                <w:i w:val="0"/>
                <w:iCs w:val="0"/>
                <w:color w:val="000000"/>
                <w:sz w:val="20"/>
                <w:szCs w:val="20"/>
                <w:u w:val="none"/>
              </w:rPr>
            </w:pPr>
          </w:p>
        </w:tc>
      </w:tr>
    </w:tbl>
    <w:p w14:paraId="6B6FE76D">
      <w:pPr>
        <w:rPr>
          <w:rFonts w:hint="default"/>
          <w:b/>
          <w:bCs/>
          <w:sz w:val="24"/>
          <w:szCs w:val="32"/>
          <w:lang w:val="en-US" w:eastAsia="zh-CN"/>
        </w:rPr>
      </w:pPr>
    </w:p>
    <w:p w14:paraId="3D7190E2">
      <w:pPr>
        <w:rPr>
          <w:rFonts w:hint="eastAsia"/>
          <w:b/>
          <w:bCs/>
          <w:sz w:val="24"/>
          <w:szCs w:val="32"/>
          <w:lang w:val="en-US" w:eastAsia="zh-CN"/>
        </w:rPr>
      </w:pPr>
      <w:r>
        <w:rPr>
          <w:rFonts w:hint="eastAsia"/>
          <w:b/>
          <w:bCs/>
          <w:sz w:val="24"/>
          <w:szCs w:val="32"/>
          <w:lang w:val="en-US" w:eastAsia="zh-CN"/>
        </w:rPr>
        <w:t>5）</w:t>
      </w:r>
      <w:bookmarkStart w:id="0" w:name="_GoBack"/>
      <w:bookmarkEnd w:id="0"/>
      <w:r>
        <w:rPr>
          <w:rFonts w:hint="eastAsia"/>
          <w:b/>
          <w:bCs/>
          <w:sz w:val="24"/>
          <w:szCs w:val="32"/>
          <w:lang w:val="en-US" w:eastAsia="zh-CN"/>
        </w:rPr>
        <w:t>.</w:t>
      </w:r>
    </w:p>
    <w:tbl>
      <w:tblPr>
        <w:tblStyle w:val="10"/>
        <w:tblW w:w="9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8"/>
        <w:gridCol w:w="1380"/>
        <w:gridCol w:w="2181"/>
        <w:gridCol w:w="2425"/>
        <w:gridCol w:w="719"/>
        <w:gridCol w:w="800"/>
        <w:gridCol w:w="1557"/>
      </w:tblGrid>
      <w:tr w14:paraId="385BD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3" w:hRule="atLeast"/>
        </w:trPr>
        <w:tc>
          <w:tcPr>
            <w:tcW w:w="97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D84B0D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排水工程材料检测清单</w:t>
            </w:r>
          </w:p>
        </w:tc>
      </w:tr>
      <w:tr w14:paraId="63648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982A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1B96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检测产品/对象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184C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检测项目/参数</w:t>
            </w:r>
          </w:p>
        </w:tc>
        <w:tc>
          <w:tcPr>
            <w:tcW w:w="2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4556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抽检频率</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611A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24CB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暂估数量</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B6A9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收费依据</w:t>
            </w:r>
          </w:p>
        </w:tc>
      </w:tr>
      <w:tr w14:paraId="19B36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35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8A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钢管圆管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198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屈服强度、抗拉强度、断后伸长率、弯曲</w:t>
            </w:r>
          </w:p>
        </w:tc>
        <w:tc>
          <w:tcPr>
            <w:tcW w:w="2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74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每批按同一牌号、同一炉号、同一规格和同一热处理组成。</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F8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07E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727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4.25.3</w:t>
            </w:r>
          </w:p>
        </w:tc>
      </w:tr>
      <w:tr w14:paraId="017EB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F5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C2C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HDPE双壁波纹管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50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32C6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不超过60t为一批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F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289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BD0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54D77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AC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F0CFA4">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A4D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平均内径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2CA4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7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07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3D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0C922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108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1CA9D">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06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环刚度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55251">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2DB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31B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B96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市场价</w:t>
            </w:r>
          </w:p>
        </w:tc>
      </w:tr>
      <w:tr w14:paraId="6F911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0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9057E">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0D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环柔性</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FC7A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5B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95C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A1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4.43.10</w:t>
            </w:r>
          </w:p>
        </w:tc>
      </w:tr>
      <w:tr w14:paraId="7E0AA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C2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076629">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8B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烘箱试验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33C6D4">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6D1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DA6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F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4.43.12</w:t>
            </w:r>
          </w:p>
        </w:tc>
      </w:tr>
      <w:tr w14:paraId="39119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25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2330B">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90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冲击性能</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38738">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BC1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6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7B9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4.43.6</w:t>
            </w:r>
          </w:p>
        </w:tc>
      </w:tr>
      <w:tr w14:paraId="6AEAA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9C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9B58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钢筋混凝土排水管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5B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外观质量</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573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组批规则详见标准GB/T 11836-2009中的8.2.2条</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87A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A7F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473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10.19.3</w:t>
            </w:r>
          </w:p>
        </w:tc>
      </w:tr>
      <w:tr w14:paraId="0D81A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A08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9B64E">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67E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尺寸偏差</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D4976">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3BD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F83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9B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10.19.4</w:t>
            </w:r>
          </w:p>
        </w:tc>
      </w:tr>
      <w:tr w14:paraId="30A77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FD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47FD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85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裂缝荷载（管子裂缝）</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21118">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F9D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953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B3B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10.19.9</w:t>
            </w:r>
          </w:p>
        </w:tc>
      </w:tr>
      <w:tr w14:paraId="2EEDC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C1B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4A066">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582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破坏荷载</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5674E">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3B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75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D4F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10.19.5</w:t>
            </w:r>
          </w:p>
        </w:tc>
      </w:tr>
      <w:tr w14:paraId="59630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B4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32D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球墨铸铁管/管件</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6AB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拉伸试验（抗拉强度、断后伸长率）</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1D6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管应按批进行检查和验收。每批应由同一公称直径、同一接口型式、同一壁厚级别、同一定尺长度、同一退火制度的球墨铸铁管组成。</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08D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F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2E6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4.25.3</w:t>
            </w:r>
          </w:p>
        </w:tc>
      </w:tr>
      <w:tr w14:paraId="41879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81A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324C53">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74A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硬度试验（布氏硬度）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FB7C2">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35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4D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F6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4.16.7*2</w:t>
            </w:r>
          </w:p>
        </w:tc>
      </w:tr>
      <w:tr w14:paraId="7B6F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25F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830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钢丝网骨架PE塑料复合管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E2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BA4E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不超过5km为一批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58E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50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3B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1CD29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5E5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D83C4">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C89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平均外径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5915A">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B3A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847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1ED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4.44.2</w:t>
            </w:r>
          </w:p>
        </w:tc>
      </w:tr>
      <w:tr w14:paraId="6154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074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46F8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FD7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受压开裂稳定性</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668FFA">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7E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99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3B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4.44.10</w:t>
            </w:r>
          </w:p>
        </w:tc>
      </w:tr>
      <w:tr w14:paraId="18D3A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B4C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71C55">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C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短期静液压强度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88CDE">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C13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7CE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BA5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4.44.3</w:t>
            </w:r>
          </w:p>
        </w:tc>
      </w:tr>
      <w:tr w14:paraId="1C503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3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7C25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（涂塑）钢塑复合管</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602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4F72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DN＜200mm每1000根为一批；500mm＞DN≥200mm每500根为一批；DN≥500mm每200根为一批。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59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785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27E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4.44.1</w:t>
            </w:r>
          </w:p>
        </w:tc>
      </w:tr>
      <w:tr w14:paraId="07FD9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D11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B7403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3E1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内衬塑料厚度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3AA6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59C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5BA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427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4.44.2</w:t>
            </w:r>
          </w:p>
        </w:tc>
      </w:tr>
      <w:tr w14:paraId="2A620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9EB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70A748">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62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附着力试验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077A3">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ED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2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DB6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4.44.25</w:t>
            </w:r>
          </w:p>
        </w:tc>
      </w:tr>
      <w:tr w14:paraId="5F598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F9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010B6">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7A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弯曲性能或压扁性能</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16406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1F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A0E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A31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4.44.5</w:t>
            </w:r>
          </w:p>
        </w:tc>
      </w:tr>
      <w:tr w14:paraId="75F71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F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16E6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冷热水用PP-R管材</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0F1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05BA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不超过100t或10d生产为一批。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DC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60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FC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37475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47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75FD1A">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8A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平均外径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EB5FB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A06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F5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1E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5D54D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FF7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47AF1">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D7B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壁厚</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1262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FE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984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2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30743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99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BEAA5">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CD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纵向回缩率</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B6BDC">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EFA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4BC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CA7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4.43.8</w:t>
            </w:r>
          </w:p>
        </w:tc>
      </w:tr>
      <w:tr w14:paraId="58791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E47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97489">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48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简支梁冲击</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5C3301">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8E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A0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374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4.43.7</w:t>
            </w:r>
          </w:p>
        </w:tc>
      </w:tr>
      <w:tr w14:paraId="1F76F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B4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61A7A">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FA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静液压试验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4D18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76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79A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5DB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4.43.13</w:t>
            </w:r>
          </w:p>
        </w:tc>
      </w:tr>
      <w:tr w14:paraId="390FD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871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594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冷热水用PP-R管件</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A1D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3AE8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n≤25mm不超过50000件为一批；63mm≥dn≥32mm不超过20000件为一批，dn＞63mm不超过5000件为一批，或以不超过7d生产为一批。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77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6E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BA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3AA11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35B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8CB78">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3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承口平均内径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6B719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EA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7F7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A8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18067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E20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19D6F1">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2BC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最小承口深度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2C56D">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47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944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D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1D328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48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0CB8B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89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静液压试验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BE24D">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E7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FD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84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4.43.13</w:t>
            </w:r>
          </w:p>
        </w:tc>
      </w:tr>
      <w:tr w14:paraId="298F4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7BE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53E4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PVC-U排水管材</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C9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A1A8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不超过50t为一批。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890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5F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CF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5ECF5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513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92B26">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2E2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平均外径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A29B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06E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1C4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04C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0849A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36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98AC2">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636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拉伸屈服应力</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DE0638">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23A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8E1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2B4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4.43.3</w:t>
            </w:r>
          </w:p>
        </w:tc>
      </w:tr>
      <w:tr w14:paraId="6703C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A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BEDA94">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2C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维卡软化温度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35D9B7">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62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E60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DD8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4.43.4</w:t>
            </w:r>
          </w:p>
        </w:tc>
      </w:tr>
      <w:tr w14:paraId="43556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558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2470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386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落锤冲击</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F0FCD2">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55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5D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B80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4.43.6</w:t>
            </w:r>
          </w:p>
        </w:tc>
      </w:tr>
      <w:tr w14:paraId="01D5A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3A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550483">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7AC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纵向回缩率</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ECCF5">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600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87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FAA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4.43.8</w:t>
            </w:r>
          </w:p>
        </w:tc>
      </w:tr>
      <w:tr w14:paraId="775E6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49E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681D52">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95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断裂伸长率</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0C21D">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D24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1C4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059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4.43.3</w:t>
            </w:r>
          </w:p>
        </w:tc>
      </w:tr>
      <w:tr w14:paraId="62A70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F1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B11A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PVC-U排水管件</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0E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外观</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A116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dn＜75时，不超过10000件为一批；dn≥75时不超过5000件为一批。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70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71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E2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w:t>
            </w:r>
          </w:p>
        </w:tc>
      </w:tr>
      <w:tr w14:paraId="4E4EB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359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7383C">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F15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承口平均内径</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544C1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F63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998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02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40BE1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87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DC220">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8FB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最小承口深度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74627E">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82A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273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828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4.43.2</w:t>
            </w:r>
          </w:p>
        </w:tc>
      </w:tr>
      <w:tr w14:paraId="40D04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640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FEA93">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A96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维卡软化温度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87EEB">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9F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02A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1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4.43.4</w:t>
            </w:r>
          </w:p>
        </w:tc>
      </w:tr>
      <w:tr w14:paraId="2FF44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3EC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29E6A">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23D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烘箱试验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C587C">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1A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F37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8CC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4.43.12</w:t>
            </w:r>
          </w:p>
        </w:tc>
      </w:tr>
      <w:tr w14:paraId="73C79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C23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3BFBB3">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0AE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坠落试验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978982">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19A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AB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DD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4.43.11</w:t>
            </w:r>
          </w:p>
        </w:tc>
      </w:tr>
      <w:tr w14:paraId="5F55C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64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A8D5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PVC-U 管道系统用塑料溶剂型胶粘剂</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73E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溶解性</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FD1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每批数量不超10t</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614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27C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229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4.37.3</w:t>
            </w:r>
          </w:p>
        </w:tc>
      </w:tr>
      <w:tr w14:paraId="09B12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2F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2D63F">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11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F0170">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D0C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F3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D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4.37.6</w:t>
            </w:r>
          </w:p>
        </w:tc>
      </w:tr>
      <w:tr w14:paraId="2B33C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F6A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E89359">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90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粘结强度</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A6AE0F">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67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D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B6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4.37.8</w:t>
            </w:r>
          </w:p>
        </w:tc>
      </w:tr>
      <w:tr w14:paraId="59497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032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691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阀门</w:t>
            </w: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76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壳体试验（或强度试验）</w:t>
            </w:r>
          </w:p>
        </w:tc>
        <w:tc>
          <w:tcPr>
            <w:tcW w:w="2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620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以同品种、同类型、同型号的产品组批</w:t>
            </w: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D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8C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93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4.54.1</w:t>
            </w:r>
          </w:p>
        </w:tc>
      </w:tr>
      <w:tr w14:paraId="2734E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2"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49E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017B6F">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C1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密封试验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78BE5E">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B2F3F">
            <w:pPr>
              <w:jc w:val="center"/>
              <w:rPr>
                <w:rFonts w:hint="eastAsia" w:ascii="宋体" w:hAnsi="宋体" w:eastAsia="宋体" w:cs="宋体"/>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EB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C0D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4.54.2</w:t>
            </w:r>
          </w:p>
        </w:tc>
      </w:tr>
      <w:tr w14:paraId="64A8E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0"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C5A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EFB43">
            <w:pPr>
              <w:jc w:val="center"/>
              <w:rPr>
                <w:rFonts w:hint="eastAsia" w:ascii="宋体" w:hAnsi="宋体" w:eastAsia="宋体" w:cs="宋体"/>
                <w:i w:val="0"/>
                <w:iCs w:val="0"/>
                <w:color w:val="000000"/>
                <w:sz w:val="22"/>
                <w:szCs w:val="22"/>
                <w:u w:val="none"/>
              </w:rPr>
            </w:pPr>
          </w:p>
        </w:tc>
        <w:tc>
          <w:tcPr>
            <w:tcW w:w="2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B5C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上密封试验</w:t>
            </w:r>
          </w:p>
        </w:tc>
        <w:tc>
          <w:tcPr>
            <w:tcW w:w="2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91CCF1">
            <w:pPr>
              <w:jc w:val="center"/>
              <w:rPr>
                <w:rFonts w:hint="eastAsia" w:ascii="宋体" w:hAnsi="宋体" w:eastAsia="宋体" w:cs="宋体"/>
                <w:i w:val="0"/>
                <w:iCs w:val="0"/>
                <w:color w:val="000000"/>
                <w:sz w:val="22"/>
                <w:szCs w:val="22"/>
                <w:u w:val="none"/>
              </w:rPr>
            </w:pPr>
          </w:p>
        </w:tc>
        <w:tc>
          <w:tcPr>
            <w:tcW w:w="7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A79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D5E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2E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4.54.3</w:t>
            </w:r>
          </w:p>
        </w:tc>
      </w:tr>
    </w:tbl>
    <w:p w14:paraId="6D48B917">
      <w:pPr>
        <w:keepNext/>
        <w:keepLines/>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Chars="0"/>
        <w:jc w:val="left"/>
        <w:textAlignment w:val="auto"/>
        <w:outlineLvl w:val="9"/>
        <w:rPr>
          <w:rFonts w:hint="eastAsia" w:ascii="宋体" w:hAnsi="宋体" w:eastAsia="宋体" w:cs="宋体"/>
          <w:b/>
          <w:sz w:val="21"/>
          <w:szCs w:val="21"/>
          <w:lang w:val="en-US" w:eastAsia="zh-CN"/>
        </w:rPr>
      </w:pPr>
    </w:p>
    <w:p w14:paraId="71ACE703">
      <w:pPr>
        <w:keepNext/>
        <w:keepLines/>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Chars="0"/>
        <w:jc w:val="left"/>
        <w:textAlignment w:val="auto"/>
        <w:outlineLvl w:val="9"/>
        <w:rPr>
          <w:rFonts w:hint="eastAsia" w:ascii="宋体" w:hAnsi="宋体" w:eastAsia="宋体" w:cs="宋体"/>
          <w:b/>
          <w:sz w:val="21"/>
          <w:szCs w:val="21"/>
          <w:lang w:val="en-US" w:eastAsia="zh-CN"/>
        </w:rPr>
      </w:pPr>
    </w:p>
    <w:p w14:paraId="7B699AAC">
      <w:pPr>
        <w:keepNext/>
        <w:keepLines/>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Chars="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四、调研报价</w:t>
      </w:r>
    </w:p>
    <w:p w14:paraId="0EF9FFF7">
      <w:pPr>
        <w:keepNext w:val="0"/>
        <w:keepLines w:val="0"/>
        <w:widowControl/>
        <w:suppressLineNumbers w:val="0"/>
        <w:spacing w:line="36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1.参与调研报价内容必须全部满足采购人要求。</w:t>
      </w:r>
    </w:p>
    <w:p w14:paraId="24A1E1F5">
      <w:pPr>
        <w:keepNext w:val="0"/>
        <w:keepLines w:val="0"/>
        <w:widowControl/>
        <w:suppressLineNumbers w:val="0"/>
        <w:spacing w:line="36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2.参与调研报价的调研供应商必须按以下调研模版填好并打印后，加盖公章！</w:t>
      </w:r>
    </w:p>
    <w:p w14:paraId="0CBEDD9C">
      <w:pPr>
        <w:keepNext w:val="0"/>
        <w:keepLines w:val="0"/>
        <w:widowControl/>
        <w:suppressLineNumbers w:val="0"/>
        <w:spacing w:line="36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br w:type="page"/>
      </w:r>
    </w:p>
    <w:p w14:paraId="56A06F4F">
      <w:pPr>
        <w:pStyle w:val="14"/>
        <w:spacing w:line="500" w:lineRule="exact"/>
        <w:ind w:firstLine="0" w:firstLineChars="0"/>
        <w:jc w:val="center"/>
        <w:rPr>
          <w:rFonts w:hint="eastAsia" w:ascii="宋体" w:hAnsi="宋体" w:eastAsia="宋体" w:cs="宋体"/>
          <w:b/>
          <w:bCs/>
          <w:color w:val="auto"/>
          <w:sz w:val="32"/>
          <w:szCs w:val="32"/>
          <w:highlight w:val="none"/>
          <w:lang w:val="en-US" w:eastAsia="zh-CN"/>
        </w:rPr>
      </w:pPr>
      <w:r>
        <w:rPr>
          <w:rFonts w:hint="eastAsia" w:ascii="宋体" w:hAnsi="宋体" w:eastAsia="宋体" w:cs="宋体"/>
          <w:b/>
          <w:bCs/>
          <w:color w:val="auto"/>
          <w:sz w:val="32"/>
          <w:szCs w:val="32"/>
          <w:highlight w:val="none"/>
          <w:lang w:val="en-US" w:eastAsia="zh-CN"/>
        </w:rPr>
        <w:t>茂名市电白区慢性病防治中心新院区建设项目检测（钢结构、幕墙工程等）服务项目</w:t>
      </w:r>
    </w:p>
    <w:p w14:paraId="66A5080F">
      <w:pPr>
        <w:pStyle w:val="14"/>
        <w:spacing w:line="500" w:lineRule="exact"/>
        <w:ind w:firstLine="0" w:firstLineChars="0"/>
        <w:jc w:val="center"/>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调研</w:t>
      </w:r>
      <w:r>
        <w:rPr>
          <w:rFonts w:hint="eastAsia" w:ascii="宋体" w:hAnsi="宋体" w:eastAsia="宋体" w:cs="宋体"/>
          <w:b/>
          <w:bCs/>
          <w:color w:val="auto"/>
          <w:sz w:val="32"/>
          <w:szCs w:val="32"/>
          <w:highlight w:val="none"/>
          <w:lang w:val="en-US" w:eastAsia="zh-CN"/>
        </w:rPr>
        <w:t>响应</w:t>
      </w:r>
      <w:r>
        <w:rPr>
          <w:rFonts w:hint="eastAsia" w:ascii="宋体" w:hAnsi="宋体" w:eastAsia="宋体" w:cs="宋体"/>
          <w:b/>
          <w:bCs/>
          <w:color w:val="auto"/>
          <w:sz w:val="32"/>
          <w:szCs w:val="32"/>
          <w:highlight w:val="none"/>
        </w:rPr>
        <w:t>表</w:t>
      </w:r>
    </w:p>
    <w:p w14:paraId="103EC30A">
      <w:pPr>
        <w:pStyle w:val="14"/>
        <w:spacing w:line="500" w:lineRule="exact"/>
        <w:ind w:firstLine="0" w:firstLineChars="0"/>
        <w:jc w:val="center"/>
        <w:rPr>
          <w:rFonts w:hint="eastAsia" w:ascii="宋体" w:hAnsi="宋体" w:eastAsia="宋体" w:cs="宋体"/>
          <w:color w:val="auto"/>
          <w:sz w:val="32"/>
          <w:szCs w:val="32"/>
          <w:highlight w:val="none"/>
        </w:rPr>
      </w:pPr>
    </w:p>
    <w:p w14:paraId="19EB83CE">
      <w:pPr>
        <w:spacing w:line="48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调研内容：</w:t>
      </w:r>
      <w:r>
        <w:rPr>
          <w:rFonts w:hint="eastAsia" w:ascii="宋体" w:hAnsi="宋体" w:eastAsia="宋体" w:cs="宋体"/>
          <w:b/>
          <w:bCs/>
          <w:color w:val="auto"/>
          <w:sz w:val="24"/>
          <w:szCs w:val="24"/>
          <w:highlight w:val="none"/>
          <w:lang w:val="en-US" w:eastAsia="zh-CN"/>
        </w:rPr>
        <w:t>茂名市电白区慢性病防治中心新院区建设项目检测（钢结构、幕墙工程等）服务项目</w:t>
      </w:r>
    </w:p>
    <w:p w14:paraId="50A6FD51">
      <w:pPr>
        <w:spacing w:line="480" w:lineRule="auto"/>
        <w:rPr>
          <w:rFonts w:hint="eastAsia" w:ascii="宋体" w:hAnsi="宋体" w:eastAsia="宋体" w:cs="宋体"/>
          <w:b/>
          <w:bCs/>
          <w:color w:val="auto"/>
          <w:sz w:val="24"/>
          <w:szCs w:val="24"/>
          <w:highlight w:val="none"/>
          <w:u w:val="single"/>
          <w:lang w:val="en-US" w:eastAsia="zh-CN"/>
        </w:rPr>
      </w:pPr>
      <w:r>
        <w:rPr>
          <w:rFonts w:hint="eastAsia" w:ascii="宋体" w:hAnsi="宋体" w:eastAsia="宋体" w:cs="宋体"/>
          <w:b/>
          <w:bCs/>
          <w:color w:val="auto"/>
          <w:sz w:val="24"/>
          <w:szCs w:val="24"/>
          <w:highlight w:val="none"/>
        </w:rPr>
        <w:t>参与调研报价供应商（公章）：</w:t>
      </w:r>
      <w:r>
        <w:rPr>
          <w:rFonts w:hint="eastAsia" w:ascii="宋体" w:hAnsi="宋体" w:eastAsia="宋体" w:cs="宋体"/>
          <w:b/>
          <w:bCs/>
          <w:color w:val="auto"/>
          <w:sz w:val="24"/>
          <w:szCs w:val="24"/>
          <w:highlight w:val="none"/>
          <w:u w:val="single"/>
          <w:lang w:val="en-US" w:eastAsia="zh-CN"/>
        </w:rPr>
        <w:t xml:space="preserve">                           </w:t>
      </w:r>
    </w:p>
    <w:p w14:paraId="696BB5CB">
      <w:pPr>
        <w:spacing w:line="480" w:lineRule="auto"/>
        <w:rPr>
          <w:rFonts w:hint="eastAsia" w:ascii="宋体" w:hAnsi="宋体" w:eastAsia="宋体" w:cs="宋体"/>
          <w:b/>
          <w:bCs/>
          <w:color w:val="auto"/>
          <w:sz w:val="24"/>
          <w:szCs w:val="24"/>
          <w:highlight w:val="none"/>
          <w:u w:val="single"/>
          <w:lang w:val="en-US" w:eastAsia="zh-CN"/>
        </w:rPr>
      </w:pPr>
      <w:r>
        <w:rPr>
          <w:rFonts w:hint="eastAsia" w:ascii="宋体" w:hAnsi="宋体" w:eastAsia="宋体" w:cs="宋体"/>
          <w:b/>
          <w:bCs/>
          <w:color w:val="auto"/>
          <w:sz w:val="24"/>
          <w:szCs w:val="24"/>
          <w:highlight w:val="none"/>
          <w:lang w:val="en-US" w:eastAsia="zh-CN"/>
        </w:rPr>
        <w:t>参与调研时间：</w:t>
      </w:r>
      <w:r>
        <w:rPr>
          <w:rFonts w:hint="eastAsia" w:ascii="宋体" w:hAnsi="宋体" w:eastAsia="宋体" w:cs="宋体"/>
          <w:b/>
          <w:bCs/>
          <w:color w:val="auto"/>
          <w:sz w:val="24"/>
          <w:szCs w:val="24"/>
          <w:highlight w:val="none"/>
          <w:u w:val="single"/>
          <w:lang w:val="en-US" w:eastAsia="zh-CN"/>
        </w:rPr>
        <w:t xml:space="preserve">     </w:t>
      </w:r>
      <w:r>
        <w:rPr>
          <w:rFonts w:hint="eastAsia" w:ascii="宋体" w:hAnsi="宋体" w:eastAsia="宋体" w:cs="宋体"/>
          <w:b/>
          <w:bCs/>
          <w:color w:val="auto"/>
          <w:sz w:val="24"/>
          <w:szCs w:val="24"/>
          <w:highlight w:val="none"/>
          <w:u w:val="none"/>
          <w:lang w:val="en-US" w:eastAsia="zh-CN"/>
        </w:rPr>
        <w:t>年</w:t>
      </w:r>
      <w:r>
        <w:rPr>
          <w:rFonts w:hint="eastAsia" w:ascii="宋体" w:hAnsi="宋体" w:eastAsia="宋体" w:cs="宋体"/>
          <w:b/>
          <w:bCs/>
          <w:color w:val="auto"/>
          <w:sz w:val="24"/>
          <w:szCs w:val="24"/>
          <w:highlight w:val="none"/>
          <w:u w:val="single"/>
          <w:lang w:val="en-US" w:eastAsia="zh-CN"/>
        </w:rPr>
        <w:t xml:space="preserve">    </w:t>
      </w:r>
      <w:r>
        <w:rPr>
          <w:rFonts w:hint="eastAsia" w:ascii="宋体" w:hAnsi="宋体" w:eastAsia="宋体" w:cs="宋体"/>
          <w:b/>
          <w:bCs/>
          <w:color w:val="auto"/>
          <w:sz w:val="24"/>
          <w:szCs w:val="24"/>
          <w:highlight w:val="none"/>
          <w:u w:val="none"/>
          <w:lang w:val="en-US" w:eastAsia="zh-CN"/>
        </w:rPr>
        <w:t>月</w:t>
      </w:r>
      <w:r>
        <w:rPr>
          <w:rFonts w:hint="eastAsia" w:ascii="宋体" w:hAnsi="宋体" w:eastAsia="宋体" w:cs="宋体"/>
          <w:b/>
          <w:bCs/>
          <w:color w:val="auto"/>
          <w:sz w:val="24"/>
          <w:szCs w:val="24"/>
          <w:highlight w:val="none"/>
          <w:u w:val="single"/>
          <w:lang w:val="en-US" w:eastAsia="zh-CN"/>
        </w:rPr>
        <w:t xml:space="preserve">    </w:t>
      </w:r>
      <w:r>
        <w:rPr>
          <w:rFonts w:hint="eastAsia" w:ascii="宋体" w:hAnsi="宋体" w:eastAsia="宋体" w:cs="宋体"/>
          <w:b/>
          <w:bCs/>
          <w:color w:val="auto"/>
          <w:sz w:val="24"/>
          <w:szCs w:val="24"/>
          <w:highlight w:val="none"/>
          <w:u w:val="none"/>
          <w:lang w:val="en-US" w:eastAsia="zh-CN"/>
        </w:rPr>
        <w:t>日</w:t>
      </w:r>
    </w:p>
    <w:p w14:paraId="6A4BBF1C">
      <w:pPr>
        <w:spacing w:line="480" w:lineRule="auto"/>
        <w:rPr>
          <w:rFonts w:hint="eastAsia" w:ascii="宋体" w:hAnsi="宋体" w:eastAsia="宋体" w:cs="宋体"/>
          <w:b/>
          <w:bCs/>
          <w:color w:val="auto"/>
          <w:sz w:val="24"/>
          <w:szCs w:val="24"/>
          <w:highlight w:val="none"/>
          <w:u w:val="single"/>
          <w:lang w:val="en-US" w:eastAsia="zh-CN"/>
        </w:rPr>
      </w:pPr>
      <w:r>
        <w:rPr>
          <w:rFonts w:hint="eastAsia" w:ascii="宋体" w:hAnsi="宋体" w:eastAsia="宋体" w:cs="宋体"/>
          <w:b/>
          <w:bCs/>
          <w:color w:val="auto"/>
          <w:sz w:val="24"/>
          <w:szCs w:val="24"/>
          <w:highlight w:val="none"/>
        </w:rPr>
        <w:t>参与调研联系人：</w:t>
      </w:r>
      <w:r>
        <w:rPr>
          <w:rFonts w:hint="eastAsia" w:ascii="宋体" w:hAnsi="宋体" w:eastAsia="宋体" w:cs="宋体"/>
          <w:b/>
          <w:bCs/>
          <w:color w:val="auto"/>
          <w:sz w:val="24"/>
          <w:szCs w:val="24"/>
          <w:highlight w:val="none"/>
          <w:u w:val="single"/>
          <w:lang w:val="en-US" w:eastAsia="zh-CN"/>
        </w:rPr>
        <w:t xml:space="preserve">                </w:t>
      </w:r>
    </w:p>
    <w:p w14:paraId="29B1396D">
      <w:pPr>
        <w:spacing w:line="480" w:lineRule="auto"/>
        <w:rPr>
          <w:rFonts w:hint="eastAsia" w:ascii="宋体" w:hAnsi="宋体" w:eastAsia="宋体" w:cs="宋体"/>
          <w:b/>
          <w:bCs/>
          <w:color w:val="auto"/>
          <w:sz w:val="24"/>
          <w:szCs w:val="24"/>
          <w:highlight w:val="none"/>
          <w:u w:val="single"/>
          <w:lang w:val="en-US" w:eastAsia="zh-CN"/>
        </w:rPr>
      </w:pPr>
      <w:r>
        <w:rPr>
          <w:rFonts w:hint="eastAsia" w:ascii="宋体" w:hAnsi="宋体" w:eastAsia="宋体" w:cs="宋体"/>
          <w:b/>
          <w:bCs/>
          <w:color w:val="auto"/>
          <w:sz w:val="24"/>
          <w:szCs w:val="24"/>
          <w:highlight w:val="none"/>
        </w:rPr>
        <w:t>参与调研联系电话：</w:t>
      </w:r>
      <w:r>
        <w:rPr>
          <w:rFonts w:hint="eastAsia" w:ascii="宋体" w:hAnsi="宋体" w:eastAsia="宋体" w:cs="宋体"/>
          <w:b/>
          <w:bCs/>
          <w:color w:val="auto"/>
          <w:sz w:val="24"/>
          <w:szCs w:val="24"/>
          <w:highlight w:val="none"/>
          <w:u w:val="single"/>
          <w:lang w:val="en-US" w:eastAsia="zh-CN"/>
        </w:rPr>
        <w:t xml:space="preserve">               </w:t>
      </w:r>
    </w:p>
    <w:p w14:paraId="34BF5BB7">
      <w:pPr>
        <w:numPr>
          <w:ilvl w:val="0"/>
          <w:numId w:val="2"/>
        </w:numPr>
        <w:spacing w:line="48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调研报价</w:t>
      </w:r>
    </w:p>
    <w:p w14:paraId="1727E6E7">
      <w:pPr>
        <w:adjustRightInd w:val="0"/>
        <w:snapToGrid w:val="0"/>
        <w:spacing w:line="300" w:lineRule="auto"/>
        <w:jc w:val="center"/>
        <w:rPr>
          <w:rFonts w:hint="eastAsia" w:ascii="宋体" w:hAnsi="宋体" w:eastAsia="宋体" w:cs="宋体"/>
          <w:b/>
        </w:rPr>
      </w:pPr>
      <w:r>
        <w:rPr>
          <w:rFonts w:hint="eastAsia" w:ascii="宋体" w:hAnsi="宋体" w:eastAsia="宋体" w:cs="宋体"/>
          <w:b/>
          <w:bCs/>
          <w:sz w:val="28"/>
          <w:szCs w:val="28"/>
        </w:rPr>
        <w:t>报价一览表</w:t>
      </w:r>
    </w:p>
    <w:p w14:paraId="31DFCC95">
      <w:pPr>
        <w:spacing w:line="360" w:lineRule="auto"/>
        <w:rPr>
          <w:rFonts w:hint="eastAsia" w:ascii="宋体" w:hAnsi="宋体" w:eastAsia="宋体" w:cs="宋体"/>
          <w:sz w:val="24"/>
        </w:rPr>
      </w:pPr>
      <w:r>
        <w:rPr>
          <w:rFonts w:hint="eastAsia" w:ascii="宋体" w:hAnsi="宋体" w:eastAsia="宋体" w:cs="宋体"/>
          <w:sz w:val="24"/>
        </w:rPr>
        <w:t>项目名称：</w:t>
      </w:r>
    </w:p>
    <w:p w14:paraId="4F6A5E73">
      <w:pPr>
        <w:spacing w:line="360" w:lineRule="auto"/>
        <w:rPr>
          <w:rFonts w:hint="eastAsia" w:ascii="宋体" w:hAnsi="宋体" w:eastAsia="宋体" w:cs="宋体"/>
          <w:sz w:val="24"/>
          <w:u w:val="single"/>
        </w:rPr>
      </w:pPr>
      <w:r>
        <w:rPr>
          <w:rFonts w:hint="eastAsia" w:ascii="宋体" w:hAnsi="宋体" w:eastAsia="宋体" w:cs="宋体"/>
          <w:sz w:val="24"/>
        </w:rPr>
        <w:t>项目编号：</w:t>
      </w:r>
    </w:p>
    <w:p w14:paraId="5796C72A">
      <w:pPr>
        <w:spacing w:line="300" w:lineRule="auto"/>
        <w:rPr>
          <w:rFonts w:hint="eastAsia" w:ascii="宋体" w:hAnsi="宋体" w:eastAsia="宋体" w:cs="宋体"/>
          <w:sz w:val="24"/>
        </w:rPr>
      </w:pPr>
    </w:p>
    <w:tbl>
      <w:tblPr>
        <w:tblStyle w:val="10"/>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59"/>
        <w:gridCol w:w="6140"/>
      </w:tblGrid>
      <w:tr w14:paraId="6DE5B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3459" w:type="dxa"/>
            <w:vAlign w:val="center"/>
          </w:tcPr>
          <w:p w14:paraId="71C766C7">
            <w:pPr>
              <w:jc w:val="center"/>
              <w:rPr>
                <w:rFonts w:hint="eastAsia" w:ascii="宋体" w:hAnsi="宋体" w:eastAsia="宋体" w:cs="宋体"/>
                <w:sz w:val="24"/>
              </w:rPr>
            </w:pPr>
            <w:r>
              <w:rPr>
                <w:rFonts w:hint="eastAsia" w:ascii="宋体" w:hAnsi="宋体" w:eastAsia="宋体" w:cs="宋体"/>
                <w:sz w:val="24"/>
              </w:rPr>
              <w:t>项目名称</w:t>
            </w:r>
          </w:p>
        </w:tc>
        <w:tc>
          <w:tcPr>
            <w:tcW w:w="6140" w:type="dxa"/>
            <w:vAlign w:val="center"/>
          </w:tcPr>
          <w:p w14:paraId="1703FDC1">
            <w:pPr>
              <w:jc w:val="center"/>
              <w:rPr>
                <w:rFonts w:hint="eastAsia" w:ascii="宋体" w:hAnsi="宋体" w:eastAsia="宋体" w:cs="宋体"/>
                <w:sz w:val="24"/>
              </w:rPr>
            </w:pPr>
          </w:p>
        </w:tc>
      </w:tr>
      <w:tr w14:paraId="2B03C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8" w:hRule="atLeast"/>
        </w:trPr>
        <w:tc>
          <w:tcPr>
            <w:tcW w:w="3459" w:type="dxa"/>
            <w:vAlign w:val="center"/>
          </w:tcPr>
          <w:p w14:paraId="0A0A96F8">
            <w:pPr>
              <w:pStyle w:val="7"/>
              <w:tabs>
                <w:tab w:val="left" w:pos="7740"/>
              </w:tabs>
              <w:jc w:val="center"/>
              <w:rPr>
                <w:rFonts w:hint="eastAsia" w:ascii="宋体" w:hAnsi="宋体" w:eastAsia="宋体" w:cs="宋体"/>
                <w:b w:val="0"/>
                <w:sz w:val="24"/>
                <w:szCs w:val="24"/>
                <w:lang w:val="en-US" w:eastAsia="zh-CN"/>
              </w:rPr>
            </w:pPr>
            <w:r>
              <w:rPr>
                <w:rFonts w:hint="eastAsia" w:ascii="宋体" w:hAnsi="宋体" w:eastAsia="宋体" w:cs="宋体"/>
                <w:b w:val="0"/>
                <w:sz w:val="24"/>
                <w:szCs w:val="24"/>
              </w:rPr>
              <w:t xml:space="preserve"> </w:t>
            </w:r>
            <w:r>
              <w:rPr>
                <w:rFonts w:hint="eastAsia" w:ascii="宋体" w:hAnsi="宋体" w:eastAsia="宋体" w:cs="宋体"/>
                <w:b w:val="0"/>
                <w:sz w:val="24"/>
                <w:szCs w:val="24"/>
                <w:lang w:val="en-US" w:eastAsia="zh-CN"/>
              </w:rPr>
              <w:t>预算控制价</w:t>
            </w:r>
          </w:p>
        </w:tc>
        <w:tc>
          <w:tcPr>
            <w:tcW w:w="6140" w:type="dxa"/>
            <w:vAlign w:val="center"/>
          </w:tcPr>
          <w:p w14:paraId="5FD34A70">
            <w:pPr>
              <w:pStyle w:val="7"/>
              <w:tabs>
                <w:tab w:val="left" w:pos="7740"/>
              </w:tabs>
              <w:jc w:val="center"/>
              <w:rPr>
                <w:rFonts w:hint="eastAsia" w:ascii="宋体" w:hAnsi="宋体" w:eastAsia="宋体" w:cs="宋体"/>
                <w:b w:val="0"/>
                <w:sz w:val="24"/>
                <w:szCs w:val="24"/>
              </w:rPr>
            </w:pPr>
            <w:r>
              <w:rPr>
                <w:rFonts w:hint="eastAsia" w:ascii="宋体" w:hAnsi="宋体" w:eastAsia="宋体" w:cs="宋体"/>
                <w:color w:val="auto"/>
                <w:sz w:val="24"/>
                <w:szCs w:val="24"/>
                <w:highlight w:val="none"/>
                <w:lang w:eastAsia="zh-CN"/>
              </w:rPr>
              <w:t>806770.00</w:t>
            </w:r>
            <w:r>
              <w:rPr>
                <w:rFonts w:hint="eastAsia" w:ascii="宋体" w:hAnsi="宋体" w:eastAsia="宋体" w:cs="宋体"/>
                <w:color w:val="auto"/>
                <w:sz w:val="24"/>
                <w:szCs w:val="24"/>
                <w:highlight w:val="none"/>
              </w:rPr>
              <w:t>元</w:t>
            </w:r>
          </w:p>
        </w:tc>
      </w:tr>
      <w:tr w14:paraId="2E43E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5" w:hRule="atLeast"/>
        </w:trPr>
        <w:tc>
          <w:tcPr>
            <w:tcW w:w="3459" w:type="dxa"/>
            <w:vAlign w:val="center"/>
          </w:tcPr>
          <w:p w14:paraId="2B43E81F">
            <w:pPr>
              <w:pStyle w:val="7"/>
              <w:tabs>
                <w:tab w:val="left" w:pos="7740"/>
              </w:tabs>
              <w:jc w:val="center"/>
              <w:rPr>
                <w:rFonts w:hint="eastAsia" w:ascii="宋体" w:hAnsi="宋体" w:eastAsia="宋体" w:cs="宋体"/>
                <w:b w:val="0"/>
                <w:sz w:val="24"/>
                <w:szCs w:val="24"/>
              </w:rPr>
            </w:pPr>
            <w:r>
              <w:rPr>
                <w:rFonts w:hint="eastAsia" w:ascii="宋体" w:hAnsi="宋体" w:eastAsia="宋体" w:cs="宋体"/>
                <w:b w:val="0"/>
                <w:sz w:val="24"/>
                <w:szCs w:val="24"/>
              </w:rPr>
              <w:t>投标</w:t>
            </w:r>
            <w:r>
              <w:rPr>
                <w:rFonts w:hint="eastAsia" w:ascii="宋体" w:hAnsi="宋体" w:eastAsia="宋体" w:cs="宋体"/>
                <w:b w:val="0"/>
                <w:sz w:val="24"/>
                <w:szCs w:val="24"/>
                <w:lang w:val="en-US" w:eastAsia="zh-CN"/>
              </w:rPr>
              <w:t>下浮率</w:t>
            </w:r>
            <w:r>
              <w:rPr>
                <w:rFonts w:hint="eastAsia" w:ascii="宋体" w:hAnsi="宋体" w:eastAsia="宋体" w:cs="宋体"/>
                <w:b w:val="0"/>
                <w:sz w:val="24"/>
                <w:szCs w:val="24"/>
              </w:rPr>
              <w:t>（</w:t>
            </w:r>
            <w:r>
              <w:rPr>
                <w:rFonts w:hint="eastAsia" w:ascii="宋体" w:hAnsi="宋体" w:eastAsia="宋体" w:cs="宋体"/>
                <w:b w:val="0"/>
                <w:sz w:val="24"/>
                <w:szCs w:val="24"/>
                <w:lang w:val="en-US" w:eastAsia="zh-CN"/>
              </w:rPr>
              <w:t>A%</w:t>
            </w:r>
            <w:r>
              <w:rPr>
                <w:rFonts w:hint="eastAsia" w:ascii="宋体" w:hAnsi="宋体" w:eastAsia="宋体" w:cs="宋体"/>
                <w:b w:val="0"/>
                <w:sz w:val="24"/>
                <w:szCs w:val="24"/>
              </w:rPr>
              <w:t>）</w:t>
            </w:r>
          </w:p>
        </w:tc>
        <w:tc>
          <w:tcPr>
            <w:tcW w:w="6140" w:type="dxa"/>
            <w:vAlign w:val="center"/>
          </w:tcPr>
          <w:p w14:paraId="766789E0">
            <w:pPr>
              <w:pStyle w:val="7"/>
              <w:tabs>
                <w:tab w:val="left" w:pos="7740"/>
              </w:tabs>
              <w:rPr>
                <w:rFonts w:hint="eastAsia" w:ascii="宋体" w:hAnsi="宋体" w:eastAsia="宋体" w:cs="宋体"/>
                <w:b w:val="0"/>
                <w:sz w:val="24"/>
                <w:szCs w:val="24"/>
              </w:rPr>
            </w:pPr>
          </w:p>
        </w:tc>
      </w:tr>
      <w:tr w14:paraId="05B6D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0" w:hRule="atLeast"/>
        </w:trPr>
        <w:tc>
          <w:tcPr>
            <w:tcW w:w="3459" w:type="dxa"/>
            <w:vAlign w:val="center"/>
          </w:tcPr>
          <w:p w14:paraId="4FCAA266">
            <w:pPr>
              <w:pStyle w:val="7"/>
              <w:tabs>
                <w:tab w:val="left" w:pos="7740"/>
              </w:tabs>
              <w:jc w:val="center"/>
              <w:rPr>
                <w:rFonts w:hint="eastAsia" w:ascii="宋体" w:hAnsi="宋体" w:eastAsia="宋体" w:cs="宋体"/>
                <w:b w:val="0"/>
                <w:sz w:val="24"/>
                <w:szCs w:val="24"/>
                <w:lang w:val="en-US" w:eastAsia="zh-CN"/>
              </w:rPr>
            </w:pPr>
            <w:r>
              <w:rPr>
                <w:rFonts w:hint="eastAsia" w:ascii="宋体" w:hAnsi="宋体" w:eastAsia="宋体" w:cs="宋体"/>
                <w:b w:val="0"/>
                <w:sz w:val="24"/>
                <w:szCs w:val="24"/>
                <w:lang w:val="en-US" w:eastAsia="zh-CN"/>
              </w:rPr>
              <w:t>投标报价</w:t>
            </w:r>
          </w:p>
          <w:p w14:paraId="012A104F">
            <w:pPr>
              <w:jc w:val="center"/>
              <w:rPr>
                <w:rFonts w:hint="eastAsia" w:ascii="宋体" w:hAnsi="宋体" w:eastAsia="宋体" w:cs="宋体"/>
                <w:lang w:val="en-US" w:eastAsia="zh-CN"/>
              </w:rPr>
            </w:pPr>
            <w:r>
              <w:rPr>
                <w:rFonts w:hint="eastAsia" w:ascii="宋体" w:hAnsi="宋体" w:eastAsia="宋体" w:cs="宋体"/>
                <w:b w:val="0"/>
                <w:sz w:val="24"/>
                <w:szCs w:val="24"/>
                <w:lang w:val="en-US" w:eastAsia="zh-CN"/>
              </w:rPr>
              <w:t>（投标报价=预算控制价*1-A%）</w:t>
            </w:r>
          </w:p>
        </w:tc>
        <w:tc>
          <w:tcPr>
            <w:tcW w:w="6140" w:type="dxa"/>
            <w:vAlign w:val="center"/>
          </w:tcPr>
          <w:p w14:paraId="16E2DF6F">
            <w:pPr>
              <w:tabs>
                <w:tab w:val="left" w:pos="7740"/>
              </w:tabs>
              <w:rPr>
                <w:rFonts w:hint="eastAsia" w:ascii="宋体" w:hAnsi="宋体" w:eastAsia="宋体" w:cs="宋体"/>
                <w:sz w:val="24"/>
              </w:rPr>
            </w:pPr>
            <w:r>
              <w:rPr>
                <w:rFonts w:hint="eastAsia" w:ascii="宋体" w:hAnsi="宋体" w:eastAsia="宋体" w:cs="宋体"/>
                <w:sz w:val="24"/>
              </w:rPr>
              <w:t>大写：</w:t>
            </w:r>
          </w:p>
          <w:p w14:paraId="2935AE1A">
            <w:pPr>
              <w:pStyle w:val="7"/>
              <w:tabs>
                <w:tab w:val="left" w:pos="7740"/>
              </w:tabs>
              <w:rPr>
                <w:rFonts w:hint="eastAsia" w:ascii="宋体" w:hAnsi="宋体" w:eastAsia="宋体" w:cs="宋体"/>
                <w:b w:val="0"/>
                <w:sz w:val="24"/>
                <w:szCs w:val="24"/>
              </w:rPr>
            </w:pPr>
            <w:r>
              <w:rPr>
                <w:rFonts w:hint="eastAsia" w:ascii="宋体" w:hAnsi="宋体" w:eastAsia="宋体" w:cs="宋体"/>
                <w:b w:val="0"/>
                <w:sz w:val="24"/>
                <w:szCs w:val="24"/>
              </w:rPr>
              <w:t>小写：</w:t>
            </w:r>
          </w:p>
        </w:tc>
      </w:tr>
      <w:tr w14:paraId="23C2F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6" w:hRule="atLeast"/>
        </w:trPr>
        <w:tc>
          <w:tcPr>
            <w:tcW w:w="3459" w:type="dxa"/>
            <w:vAlign w:val="center"/>
          </w:tcPr>
          <w:p w14:paraId="0505B4AD">
            <w:pPr>
              <w:pStyle w:val="7"/>
              <w:tabs>
                <w:tab w:val="left" w:pos="7740"/>
              </w:tabs>
              <w:jc w:val="center"/>
              <w:rPr>
                <w:rFonts w:hint="eastAsia" w:ascii="宋体" w:hAnsi="宋体" w:eastAsia="宋体" w:cs="宋体"/>
                <w:b w:val="0"/>
                <w:sz w:val="24"/>
                <w:szCs w:val="24"/>
              </w:rPr>
            </w:pPr>
            <w:r>
              <w:rPr>
                <w:rFonts w:hint="eastAsia" w:ascii="宋体" w:hAnsi="宋体" w:eastAsia="宋体" w:cs="宋体"/>
                <w:b w:val="0"/>
                <w:sz w:val="24"/>
                <w:szCs w:val="24"/>
              </w:rPr>
              <w:t>工期</w:t>
            </w:r>
          </w:p>
        </w:tc>
        <w:tc>
          <w:tcPr>
            <w:tcW w:w="6140" w:type="dxa"/>
            <w:vAlign w:val="center"/>
          </w:tcPr>
          <w:p w14:paraId="1E50DE77">
            <w:pPr>
              <w:pStyle w:val="7"/>
              <w:tabs>
                <w:tab w:val="left" w:pos="7740"/>
              </w:tabs>
              <w:rPr>
                <w:rFonts w:hint="eastAsia" w:ascii="宋体" w:hAnsi="宋体" w:eastAsia="宋体" w:cs="宋体"/>
                <w:b w:val="0"/>
                <w:sz w:val="24"/>
                <w:szCs w:val="24"/>
              </w:rPr>
            </w:pPr>
          </w:p>
        </w:tc>
      </w:tr>
    </w:tbl>
    <w:p w14:paraId="63B3BC6D">
      <w:pPr>
        <w:spacing w:line="300" w:lineRule="auto"/>
        <w:rPr>
          <w:rFonts w:hint="eastAsia" w:ascii="宋体" w:hAnsi="宋体" w:eastAsia="宋体" w:cs="宋体"/>
          <w:sz w:val="24"/>
        </w:rPr>
      </w:pPr>
    </w:p>
    <w:p w14:paraId="38154ADD">
      <w:pPr>
        <w:spacing w:line="460" w:lineRule="exact"/>
        <w:rPr>
          <w:rFonts w:hint="eastAsia" w:ascii="宋体" w:hAnsi="宋体" w:eastAsia="宋体" w:cs="宋体"/>
          <w:sz w:val="24"/>
        </w:rPr>
      </w:pPr>
      <w:r>
        <w:rPr>
          <w:rFonts w:hint="eastAsia" w:ascii="宋体" w:hAnsi="宋体" w:eastAsia="宋体" w:cs="宋体"/>
          <w:sz w:val="24"/>
        </w:rPr>
        <w:t>注：</w:t>
      </w:r>
    </w:p>
    <w:p w14:paraId="5D1A3030">
      <w:pPr>
        <w:spacing w:line="460" w:lineRule="exact"/>
        <w:ind w:left="601" w:leftChars="171" w:hanging="242" w:hangingChars="101"/>
        <w:rPr>
          <w:rFonts w:hint="eastAsia" w:ascii="宋体" w:hAnsi="宋体" w:eastAsia="宋体" w:cs="宋体"/>
          <w:sz w:val="24"/>
        </w:rPr>
      </w:pPr>
      <w:r>
        <w:rPr>
          <w:rFonts w:hint="eastAsia" w:ascii="宋体" w:hAnsi="宋体" w:eastAsia="宋体" w:cs="宋体"/>
          <w:sz w:val="24"/>
        </w:rPr>
        <w:t>1.供应商须按要求填写所有信息，不得随意更改本表格式。</w:t>
      </w:r>
    </w:p>
    <w:p w14:paraId="43763EE7">
      <w:pPr>
        <w:spacing w:line="460" w:lineRule="exact"/>
        <w:ind w:left="601" w:leftChars="171" w:hanging="242" w:hangingChars="101"/>
        <w:rPr>
          <w:rFonts w:hint="eastAsia" w:ascii="宋体" w:hAnsi="宋体" w:eastAsia="宋体" w:cs="宋体"/>
          <w:sz w:val="24"/>
        </w:rPr>
      </w:pPr>
      <w:r>
        <w:rPr>
          <w:rFonts w:hint="eastAsia" w:ascii="宋体" w:hAnsi="宋体" w:eastAsia="宋体" w:cs="宋体"/>
          <w:sz w:val="24"/>
        </w:rPr>
        <w:t>2.报价中必须包含全额含税发票、雇员费用、合同实施过程中应预见和不可预见费用等。所有价格均应予人民币报价，金额单位为元。</w:t>
      </w:r>
    </w:p>
    <w:p w14:paraId="32FA39AA">
      <w:pPr>
        <w:spacing w:line="460" w:lineRule="exact"/>
        <w:ind w:left="601" w:leftChars="171" w:hanging="242" w:hangingChars="101"/>
        <w:rPr>
          <w:rFonts w:hint="eastAsia" w:ascii="宋体" w:hAnsi="宋体" w:eastAsia="宋体" w:cs="宋体"/>
          <w:sz w:val="24"/>
        </w:rPr>
      </w:pPr>
      <w:r>
        <w:rPr>
          <w:rFonts w:hint="eastAsia" w:ascii="宋体" w:hAnsi="宋体" w:eastAsia="宋体" w:cs="宋体"/>
          <w:sz w:val="24"/>
        </w:rPr>
        <w:t>3.此表是响应文件的必要文件，是响应文件的组成部分。</w:t>
      </w:r>
    </w:p>
    <w:p w14:paraId="55808AC6">
      <w:pPr>
        <w:adjustRightInd w:val="0"/>
        <w:snapToGrid w:val="0"/>
        <w:spacing w:line="360" w:lineRule="auto"/>
        <w:rPr>
          <w:rFonts w:hint="eastAsia" w:ascii="宋体" w:hAnsi="宋体" w:eastAsia="宋体" w:cs="宋体"/>
          <w:sz w:val="24"/>
        </w:rPr>
      </w:pPr>
    </w:p>
    <w:p w14:paraId="0A0B2552">
      <w:pPr>
        <w:adjustRightInd w:val="0"/>
        <w:snapToGrid w:val="0"/>
        <w:spacing w:line="460" w:lineRule="exact"/>
        <w:ind w:firstLine="2160" w:firstLineChars="900"/>
        <w:jc w:val="left"/>
        <w:rPr>
          <w:rFonts w:hint="eastAsia" w:ascii="宋体" w:hAnsi="宋体" w:eastAsia="宋体" w:cs="宋体"/>
          <w:sz w:val="24"/>
          <w:u w:val="single"/>
        </w:rPr>
      </w:pPr>
      <w:r>
        <w:rPr>
          <w:rFonts w:hint="eastAsia" w:ascii="宋体" w:hAnsi="宋体" w:eastAsia="宋体" w:cs="宋体"/>
          <w:sz w:val="24"/>
        </w:rPr>
        <w:t>调研报价供应商法定代表人（或法定代表人授权代表）签字：</w:t>
      </w:r>
    </w:p>
    <w:p w14:paraId="5D96EDEB">
      <w:pPr>
        <w:adjustRightInd w:val="0"/>
        <w:snapToGrid w:val="0"/>
        <w:spacing w:line="460" w:lineRule="exact"/>
        <w:ind w:firstLine="5280" w:firstLineChars="2200"/>
        <w:jc w:val="left"/>
        <w:rPr>
          <w:rFonts w:hint="eastAsia" w:ascii="宋体" w:hAnsi="宋体" w:eastAsia="宋体" w:cs="宋体"/>
          <w:sz w:val="24"/>
          <w:u w:val="single"/>
        </w:rPr>
      </w:pPr>
      <w:r>
        <w:rPr>
          <w:rFonts w:hint="eastAsia" w:ascii="宋体" w:hAnsi="宋体" w:eastAsia="宋体" w:cs="宋体"/>
          <w:sz w:val="24"/>
        </w:rPr>
        <w:t>调研报价供应商名称（签章）：</w:t>
      </w:r>
    </w:p>
    <w:p w14:paraId="0EB0F8FC">
      <w:pPr>
        <w:adjustRightInd w:val="0"/>
        <w:snapToGrid w:val="0"/>
        <w:spacing w:line="460" w:lineRule="exact"/>
        <w:ind w:firstLine="5280" w:firstLineChars="2200"/>
        <w:jc w:val="left"/>
        <w:rPr>
          <w:rFonts w:hint="eastAsia" w:ascii="宋体" w:hAnsi="宋体" w:eastAsia="宋体" w:cs="宋体"/>
          <w:sz w:val="24"/>
        </w:rPr>
      </w:pPr>
      <w:r>
        <w:rPr>
          <w:rFonts w:hint="eastAsia" w:ascii="宋体" w:hAnsi="宋体" w:eastAsia="宋体" w:cs="宋体"/>
          <w:sz w:val="24"/>
        </w:rPr>
        <w:t>日期：   年   月   日</w:t>
      </w:r>
    </w:p>
    <w:p w14:paraId="1D564841">
      <w:pPr>
        <w:pStyle w:val="4"/>
        <w:spacing w:line="480" w:lineRule="auto"/>
        <w:rPr>
          <w:rFonts w:hint="eastAsia" w:ascii="宋体" w:hAnsi="宋体" w:eastAsia="宋体" w:cs="宋体"/>
          <w:color w:val="auto"/>
          <w:highlight w:val="none"/>
        </w:rPr>
      </w:pPr>
    </w:p>
    <w:p w14:paraId="7A642DF3">
      <w:pPr>
        <w:numPr>
          <w:ilvl w:val="0"/>
          <w:numId w:val="0"/>
        </w:numPr>
        <w:spacing w:line="48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具有本项目相关的营业执照</w:t>
      </w:r>
    </w:p>
    <w:p w14:paraId="1FBF5D39">
      <w:pPr>
        <w:numPr>
          <w:ilvl w:val="0"/>
          <w:numId w:val="0"/>
        </w:numPr>
        <w:spacing w:line="48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三、供应商须具备建设主管部门颁发的建设工程质量检测机构资质证书，且资质证书在有效期内。供应商检测范围至少含见证取样检测、主体结构工程现场检测、地基基础工程检测、道路工程检测。若已按《建设工程质量检测机构资质标准》（建质规(2023)1号，以下简称新标准）取得新建设工程质量检测机构资质的检测机构，需满足新标准规定具备国家认可综合资质或专项资质（专项资质同时具备建筑材料及构配件、主体结构及装饰装修、地基基础专项资质）。 备注:①如供应商检测机构资质证书的检测项目与上述名称不同，但表达的意思一致也视为满足该项条件。资质证书有效期延续按《住房和城乡建设部办公厅关于做好建设工程质量检测机构新旧资质标准过渡工作的通知》建办质函(2023)100号文规定执行，如旧资质证书有效期延期，须提供相关资质有效期延续的文件材料。（提供证书复印件，并加盖公章）</w:t>
      </w:r>
    </w:p>
    <w:p w14:paraId="32C9C3FA">
      <w:pPr>
        <w:numPr>
          <w:ilvl w:val="0"/>
          <w:numId w:val="0"/>
        </w:numPr>
        <w:spacing w:line="48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四、服务周期</w:t>
      </w:r>
    </w:p>
    <w:p w14:paraId="6D8BAE97">
      <w:pPr>
        <w:numPr>
          <w:ilvl w:val="0"/>
          <w:numId w:val="0"/>
        </w:numPr>
        <w:spacing w:line="48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五、同类项目业绩合同</w:t>
      </w:r>
    </w:p>
    <w:p w14:paraId="5BE4B975">
      <w:pPr>
        <w:rPr>
          <w:rFonts w:hint="eastAsia" w:ascii="宋体" w:hAnsi="宋体" w:eastAsia="宋体" w:cs="宋体"/>
          <w:color w:val="auto"/>
          <w:sz w:val="22"/>
          <w:szCs w:val="28"/>
          <w:highlight w:val="none"/>
        </w:rPr>
      </w:pPr>
    </w:p>
    <w:p w14:paraId="55ED50C0">
      <w:pPr>
        <w:rPr>
          <w:rFonts w:hint="eastAsia" w:ascii="宋体" w:hAnsi="宋体" w:eastAsia="宋体" w:cs="宋体"/>
          <w:color w:val="auto"/>
          <w:highlight w:val="none"/>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7BBFFA"/>
    <w:multiLevelType w:val="singleLevel"/>
    <w:tmpl w:val="177BBFFA"/>
    <w:lvl w:ilvl="0" w:tentative="0">
      <w:start w:val="1"/>
      <w:numFmt w:val="chineseCounting"/>
      <w:suff w:val="nothing"/>
      <w:lvlText w:val="%1、"/>
      <w:lvlJc w:val="left"/>
      <w:rPr>
        <w:rFonts w:hint="eastAsia"/>
      </w:rPr>
    </w:lvl>
  </w:abstractNum>
  <w:abstractNum w:abstractNumId="1">
    <w:nsid w:val="3B0F68C8"/>
    <w:multiLevelType w:val="multilevel"/>
    <w:tmpl w:val="3B0F68C8"/>
    <w:lvl w:ilvl="0" w:tentative="0">
      <w:start w:val="1"/>
      <w:numFmt w:val="chineseCountingThousand"/>
      <w:pStyle w:val="2"/>
      <w:lvlText w:val="%1"/>
      <w:lvlJc w:val="left"/>
      <w:pPr>
        <w:ind w:left="0" w:firstLine="0"/>
      </w:pPr>
      <w:rPr>
        <w:rFonts w:hint="eastAsia"/>
        <w:b/>
        <w:bCs/>
      </w:rPr>
    </w:lvl>
    <w:lvl w:ilvl="1" w:tentative="0">
      <w:start w:val="1"/>
      <w:numFmt w:val="chineseCountingThousand"/>
      <w:lvlText w:val="（%2）"/>
      <w:lvlJc w:val="left"/>
      <w:pPr>
        <w:ind w:left="0" w:firstLine="0"/>
      </w:pPr>
      <w:rPr>
        <w:rFonts w:hint="eastAsia"/>
      </w:rPr>
    </w:lvl>
    <w:lvl w:ilvl="2" w:tentative="0">
      <w:start w:val="1"/>
      <w:numFmt w:val="none"/>
      <w:lvlText w:val=""/>
      <w:lvlJc w:val="left"/>
      <w:pPr>
        <w:ind w:left="0" w:firstLine="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yOTE3MjgwZWY2ZmM2NmIyMmM4NDM4MDI2ODlkYTMifQ=="/>
  </w:docVars>
  <w:rsids>
    <w:rsidRoot w:val="00000000"/>
    <w:rsid w:val="001B4EC4"/>
    <w:rsid w:val="02202E54"/>
    <w:rsid w:val="04DD3F64"/>
    <w:rsid w:val="04FE3CFB"/>
    <w:rsid w:val="06552C41"/>
    <w:rsid w:val="071F6AB6"/>
    <w:rsid w:val="084560A8"/>
    <w:rsid w:val="084875F8"/>
    <w:rsid w:val="085E0AE9"/>
    <w:rsid w:val="094B3B92"/>
    <w:rsid w:val="095660EC"/>
    <w:rsid w:val="0B1578E5"/>
    <w:rsid w:val="0B221D86"/>
    <w:rsid w:val="0BA52C4B"/>
    <w:rsid w:val="0D0429D6"/>
    <w:rsid w:val="0E3E79DA"/>
    <w:rsid w:val="0EA038CE"/>
    <w:rsid w:val="0F225395"/>
    <w:rsid w:val="0F6B6D3C"/>
    <w:rsid w:val="10137041"/>
    <w:rsid w:val="11027246"/>
    <w:rsid w:val="12535865"/>
    <w:rsid w:val="1271112A"/>
    <w:rsid w:val="12F31522"/>
    <w:rsid w:val="132D10D4"/>
    <w:rsid w:val="140C7CFF"/>
    <w:rsid w:val="146101A7"/>
    <w:rsid w:val="149563F6"/>
    <w:rsid w:val="17084259"/>
    <w:rsid w:val="18574301"/>
    <w:rsid w:val="19D432FA"/>
    <w:rsid w:val="1A9F3D3E"/>
    <w:rsid w:val="1AE300CE"/>
    <w:rsid w:val="1B23671D"/>
    <w:rsid w:val="1C1A7204"/>
    <w:rsid w:val="1D033ECF"/>
    <w:rsid w:val="1D2C0BEB"/>
    <w:rsid w:val="1ECE46E3"/>
    <w:rsid w:val="1EED4206"/>
    <w:rsid w:val="1F9A0F77"/>
    <w:rsid w:val="1FC72930"/>
    <w:rsid w:val="1FD75D28"/>
    <w:rsid w:val="22106039"/>
    <w:rsid w:val="22250FCC"/>
    <w:rsid w:val="225D7CFE"/>
    <w:rsid w:val="238166D6"/>
    <w:rsid w:val="239F090A"/>
    <w:rsid w:val="24523BCF"/>
    <w:rsid w:val="24B01C1A"/>
    <w:rsid w:val="24E63D88"/>
    <w:rsid w:val="251F61A7"/>
    <w:rsid w:val="25CB1E8B"/>
    <w:rsid w:val="25F171A9"/>
    <w:rsid w:val="26961EDB"/>
    <w:rsid w:val="26A10E3D"/>
    <w:rsid w:val="26B648E9"/>
    <w:rsid w:val="26C11FEC"/>
    <w:rsid w:val="27EE4264"/>
    <w:rsid w:val="28D502E8"/>
    <w:rsid w:val="29673C78"/>
    <w:rsid w:val="2A9D36CA"/>
    <w:rsid w:val="2AAF1D7B"/>
    <w:rsid w:val="2AEF032B"/>
    <w:rsid w:val="2AFF77CA"/>
    <w:rsid w:val="2B37188B"/>
    <w:rsid w:val="2B980A61"/>
    <w:rsid w:val="2C576945"/>
    <w:rsid w:val="2D7D0B30"/>
    <w:rsid w:val="2DA01E4F"/>
    <w:rsid w:val="2DA9541B"/>
    <w:rsid w:val="2E0D7CBC"/>
    <w:rsid w:val="2E8B12D6"/>
    <w:rsid w:val="2EA712DE"/>
    <w:rsid w:val="2EF73CF0"/>
    <w:rsid w:val="300E0B7B"/>
    <w:rsid w:val="31805D1A"/>
    <w:rsid w:val="32A10577"/>
    <w:rsid w:val="3364747B"/>
    <w:rsid w:val="35C1578C"/>
    <w:rsid w:val="3605091F"/>
    <w:rsid w:val="363E3FB3"/>
    <w:rsid w:val="36F25178"/>
    <w:rsid w:val="377C0119"/>
    <w:rsid w:val="38005DDB"/>
    <w:rsid w:val="381256F7"/>
    <w:rsid w:val="38503DDA"/>
    <w:rsid w:val="38E5599A"/>
    <w:rsid w:val="3A345096"/>
    <w:rsid w:val="3A3E6C77"/>
    <w:rsid w:val="3BAD7042"/>
    <w:rsid w:val="3BEB1D7B"/>
    <w:rsid w:val="3CC80D6D"/>
    <w:rsid w:val="3CDB255C"/>
    <w:rsid w:val="3D74475E"/>
    <w:rsid w:val="3F7A2500"/>
    <w:rsid w:val="400B13AA"/>
    <w:rsid w:val="404B5F3D"/>
    <w:rsid w:val="408360A6"/>
    <w:rsid w:val="417F4C90"/>
    <w:rsid w:val="41BB1B9A"/>
    <w:rsid w:val="42022F38"/>
    <w:rsid w:val="42024A2E"/>
    <w:rsid w:val="426B67E5"/>
    <w:rsid w:val="44561FB7"/>
    <w:rsid w:val="44734BB4"/>
    <w:rsid w:val="449F47B6"/>
    <w:rsid w:val="44EF1F91"/>
    <w:rsid w:val="44F41103"/>
    <w:rsid w:val="450B40D6"/>
    <w:rsid w:val="451E2A4E"/>
    <w:rsid w:val="451F3D9A"/>
    <w:rsid w:val="4549576B"/>
    <w:rsid w:val="458A2D71"/>
    <w:rsid w:val="45A511A0"/>
    <w:rsid w:val="45D65FB6"/>
    <w:rsid w:val="46396545"/>
    <w:rsid w:val="47A3011A"/>
    <w:rsid w:val="47C22C96"/>
    <w:rsid w:val="489C2515"/>
    <w:rsid w:val="48E96000"/>
    <w:rsid w:val="494024AD"/>
    <w:rsid w:val="49C56A6D"/>
    <w:rsid w:val="4AC55D82"/>
    <w:rsid w:val="4B0C08A9"/>
    <w:rsid w:val="4B944949"/>
    <w:rsid w:val="4C4A14AC"/>
    <w:rsid w:val="4C4B243D"/>
    <w:rsid w:val="4C7C140A"/>
    <w:rsid w:val="4D1E3BF0"/>
    <w:rsid w:val="5079410E"/>
    <w:rsid w:val="50C01D3C"/>
    <w:rsid w:val="51A50B77"/>
    <w:rsid w:val="526D68A9"/>
    <w:rsid w:val="53656BCB"/>
    <w:rsid w:val="537137C2"/>
    <w:rsid w:val="546926EB"/>
    <w:rsid w:val="55AD06A7"/>
    <w:rsid w:val="56AB0D99"/>
    <w:rsid w:val="575B27BF"/>
    <w:rsid w:val="59AA17DC"/>
    <w:rsid w:val="59D46D1F"/>
    <w:rsid w:val="59EA7E2A"/>
    <w:rsid w:val="5A4E660B"/>
    <w:rsid w:val="5B0637C0"/>
    <w:rsid w:val="5B1E12B7"/>
    <w:rsid w:val="5BEE6435"/>
    <w:rsid w:val="5DF167EB"/>
    <w:rsid w:val="5E587A58"/>
    <w:rsid w:val="5EEF489A"/>
    <w:rsid w:val="5F1245B7"/>
    <w:rsid w:val="5F2D2C93"/>
    <w:rsid w:val="600A312C"/>
    <w:rsid w:val="602C1BFC"/>
    <w:rsid w:val="60820DBC"/>
    <w:rsid w:val="60876F63"/>
    <w:rsid w:val="60FD034E"/>
    <w:rsid w:val="620F48D2"/>
    <w:rsid w:val="621974FF"/>
    <w:rsid w:val="633F4D43"/>
    <w:rsid w:val="63873BB5"/>
    <w:rsid w:val="639B20E8"/>
    <w:rsid w:val="64216B3E"/>
    <w:rsid w:val="65646869"/>
    <w:rsid w:val="68123B90"/>
    <w:rsid w:val="6D154D66"/>
    <w:rsid w:val="6D4C31C0"/>
    <w:rsid w:val="6D806684"/>
    <w:rsid w:val="6DDF784E"/>
    <w:rsid w:val="6DE36D56"/>
    <w:rsid w:val="6E331948"/>
    <w:rsid w:val="6E7A7577"/>
    <w:rsid w:val="6EB414DE"/>
    <w:rsid w:val="6EFB5A89"/>
    <w:rsid w:val="6FB279ED"/>
    <w:rsid w:val="7069467B"/>
    <w:rsid w:val="70AD2C07"/>
    <w:rsid w:val="71BA368C"/>
    <w:rsid w:val="722021E3"/>
    <w:rsid w:val="72E07543"/>
    <w:rsid w:val="73C3551C"/>
    <w:rsid w:val="73FB6A64"/>
    <w:rsid w:val="746E5488"/>
    <w:rsid w:val="74764CB4"/>
    <w:rsid w:val="7545705D"/>
    <w:rsid w:val="776C62C3"/>
    <w:rsid w:val="781B0EBA"/>
    <w:rsid w:val="78673C91"/>
    <w:rsid w:val="7A6D4434"/>
    <w:rsid w:val="7A9D668D"/>
    <w:rsid w:val="7BA36FC8"/>
    <w:rsid w:val="7C0F66AA"/>
    <w:rsid w:val="7C925723"/>
    <w:rsid w:val="7D757ECB"/>
    <w:rsid w:val="7E2412AD"/>
    <w:rsid w:val="7F1A147A"/>
    <w:rsid w:val="7F6106E9"/>
    <w:rsid w:val="7FAC4F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numPr>
        <w:ilvl w:val="0"/>
        <w:numId w:val="1"/>
      </w:numPr>
      <w:outlineLvl w:val="0"/>
    </w:pPr>
    <w:rPr>
      <w:b/>
      <w:bCs/>
      <w:kern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adjustRightInd/>
      <w:ind w:firstLine="420"/>
      <w:jc w:val="both"/>
    </w:pPr>
    <w:rPr>
      <w:kern w:val="2"/>
      <w:szCs w:val="20"/>
    </w:rPr>
  </w:style>
  <w:style w:type="paragraph" w:styleId="5">
    <w:name w:val="annotation text"/>
    <w:basedOn w:val="1"/>
    <w:qFormat/>
    <w:uiPriority w:val="0"/>
    <w:pPr>
      <w:jc w:val="left"/>
    </w:pPr>
  </w:style>
  <w:style w:type="paragraph" w:styleId="6">
    <w:name w:val="Body Text"/>
    <w:basedOn w:val="1"/>
    <w:qFormat/>
    <w:uiPriority w:val="0"/>
    <w:pPr>
      <w:autoSpaceDE/>
      <w:autoSpaceDN/>
      <w:adjustRightInd/>
      <w:spacing w:after="120"/>
      <w:jc w:val="both"/>
    </w:pPr>
    <w:rPr>
      <w:kern w:val="2"/>
      <w:szCs w:val="24"/>
    </w:rPr>
  </w:style>
  <w:style w:type="paragraph" w:styleId="7">
    <w:name w:val="toc 1"/>
    <w:basedOn w:val="1"/>
    <w:next w:val="1"/>
    <w:qFormat/>
    <w:uiPriority w:val="39"/>
    <w:pPr>
      <w:spacing w:before="120" w:after="120"/>
      <w:jc w:val="left"/>
    </w:pPr>
    <w:rPr>
      <w:b/>
      <w:bCs/>
      <w:caps/>
      <w:sz w:val="20"/>
      <w:szCs w:val="20"/>
    </w:rPr>
  </w:style>
  <w:style w:type="paragraph" w:styleId="8">
    <w:name w:val="Message Header"/>
    <w:basedOn w:val="1"/>
    <w:next w:val="6"/>
    <w:unhideWhenUsed/>
    <w:qFormat/>
    <w:uiPriority w:val="99"/>
    <w:pPr>
      <w:pBdr>
        <w:top w:val="none" w:color="auto" w:sz="0" w:space="1"/>
        <w:left w:val="none" w:color="auto" w:sz="0" w:space="1"/>
        <w:bottom w:val="none" w:color="auto" w:sz="0" w:space="1"/>
        <w:right w:val="none" w:color="auto" w:sz="0" w:space="1"/>
      </w:pBdr>
      <w:shd w:val="pct20" w:color="auto" w:fill="auto"/>
      <w:kinsoku w:val="0"/>
      <w:overflowPunct w:val="0"/>
      <w:spacing w:line="360" w:lineRule="auto"/>
    </w:pPr>
    <w:rPr>
      <w:rFonts w:ascii="Arial" w:hAnsi="Arial"/>
      <w:color w:val="000000"/>
      <w:sz w:val="28"/>
      <w:szCs w:val="24"/>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paragraph" w:styleId="14">
    <w:name w:val="List Paragraph"/>
    <w:basedOn w:val="1"/>
    <w:qFormat/>
    <w:uiPriority w:val="34"/>
    <w:pPr>
      <w:ind w:firstLine="420" w:firstLineChars="200"/>
    </w:pPr>
  </w:style>
  <w:style w:type="character" w:customStyle="1" w:styleId="15">
    <w:name w:val="font21"/>
    <w:basedOn w:val="12"/>
    <w:qFormat/>
    <w:uiPriority w:val="0"/>
    <w:rPr>
      <w:rFonts w:ascii="宋体" w:hAnsi="宋体" w:eastAsia="宋体" w:cs="宋体"/>
      <w:color w:val="000000"/>
      <w:sz w:val="12"/>
      <w:szCs w:val="12"/>
      <w:u w:val="none"/>
    </w:rPr>
  </w:style>
  <w:style w:type="paragraph" w:customStyle="1" w:styleId="16">
    <w:name w:val="Default"/>
    <w:qFormat/>
    <w:uiPriority w:val="0"/>
    <w:pPr>
      <w:widowControl w:val="0"/>
      <w:autoSpaceDE w:val="0"/>
      <w:autoSpaceDN w:val="0"/>
      <w:adjustRightInd w:val="0"/>
    </w:pPr>
    <w:rPr>
      <w:rFonts w:ascii="黑体" w:eastAsia="黑体" w:cs="黑体" w:hAnsiTheme="minorHAnsi"/>
      <w:color w:val="000000"/>
      <w:kern w:val="0"/>
      <w:sz w:val="24"/>
      <w:szCs w:val="24"/>
      <w:lang w:val="en-US" w:eastAsia="zh-CN" w:bidi="ar-SA"/>
    </w:rPr>
  </w:style>
  <w:style w:type="paragraph" w:customStyle="1" w:styleId="17">
    <w:name w:val="null3"/>
    <w:hidden/>
    <w:qFormat/>
    <w:uiPriority w:val="0"/>
    <w:rPr>
      <w:rFonts w:hint="eastAsia" w:asciiTheme="minorHAnsi" w:hAnsiTheme="minorHAnsi" w:eastAsiaTheme="minorEastAsia" w:cstheme="minorBidi"/>
      <w:lang w:val="en-US" w:eastAsia="zh-Hans"/>
    </w:rPr>
  </w:style>
  <w:style w:type="character" w:customStyle="1" w:styleId="18">
    <w:name w:val="font41"/>
    <w:basedOn w:val="12"/>
    <w:qFormat/>
    <w:uiPriority w:val="0"/>
    <w:rPr>
      <w:rFonts w:hint="eastAsia" w:ascii="宋体" w:hAnsi="宋体" w:eastAsia="宋体" w:cs="宋体"/>
      <w:color w:val="000000"/>
      <w:sz w:val="24"/>
      <w:szCs w:val="24"/>
      <w:u w:val="none"/>
    </w:rPr>
  </w:style>
  <w:style w:type="character" w:customStyle="1" w:styleId="19">
    <w:name w:val="font91"/>
    <w:basedOn w:val="12"/>
    <w:qFormat/>
    <w:uiPriority w:val="0"/>
    <w:rPr>
      <w:rFonts w:hint="eastAsia" w:ascii="宋体" w:hAnsi="宋体" w:eastAsia="宋体" w:cs="宋体"/>
      <w:color w:val="000000"/>
      <w:sz w:val="24"/>
      <w:szCs w:val="24"/>
      <w:u w:val="none"/>
    </w:rPr>
  </w:style>
  <w:style w:type="character" w:customStyle="1" w:styleId="20">
    <w:name w:val="font101"/>
    <w:basedOn w:val="12"/>
    <w:qFormat/>
    <w:uiPriority w:val="0"/>
    <w:rPr>
      <w:rFonts w:hint="default" w:ascii="Times New Roman" w:hAnsi="Times New Roman" w:cs="Times New Roman"/>
      <w:color w:val="000000"/>
      <w:sz w:val="24"/>
      <w:szCs w:val="24"/>
      <w:u w:val="none"/>
    </w:rPr>
  </w:style>
  <w:style w:type="character" w:customStyle="1" w:styleId="21">
    <w:name w:val="font61"/>
    <w:basedOn w:val="12"/>
    <w:qFormat/>
    <w:uiPriority w:val="0"/>
    <w:rPr>
      <w:rFonts w:hint="eastAsia" w:ascii="宋体" w:hAnsi="宋体" w:eastAsia="宋体" w:cs="宋体"/>
      <w:color w:val="000000"/>
      <w:sz w:val="24"/>
      <w:szCs w:val="24"/>
      <w:u w:val="none"/>
    </w:rPr>
  </w:style>
  <w:style w:type="character" w:customStyle="1" w:styleId="22">
    <w:name w:val="font141"/>
    <w:basedOn w:val="12"/>
    <w:qFormat/>
    <w:uiPriority w:val="0"/>
    <w:rPr>
      <w:rFonts w:hint="eastAsia" w:ascii="宋体" w:hAnsi="宋体" w:eastAsia="宋体" w:cs="宋体"/>
      <w:color w:val="000000"/>
      <w:sz w:val="24"/>
      <w:szCs w:val="24"/>
      <w:u w:val="none"/>
    </w:rPr>
  </w:style>
  <w:style w:type="character" w:customStyle="1" w:styleId="23">
    <w:name w:val="font151"/>
    <w:basedOn w:val="12"/>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1459</Words>
  <Characters>1515</Characters>
  <Lines>0</Lines>
  <Paragraphs>0</Paragraphs>
  <TotalTime>2</TotalTime>
  <ScaleCrop>false</ScaleCrop>
  <LinksUpToDate>false</LinksUpToDate>
  <CharactersWithSpaces>1522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2023-07-14T07:31:00Z</dcterms:created>
  <dc:creator>Administrator</dc:creator>
  <cp:lastModifiedBy>岁月静好</cp:lastModifiedBy>
  <dcterms:modified xsi:type="dcterms:W3CDTF">2025-09-18T10:08:15Z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760F653D2B6A4198BB8BFF61F26E246A_13</vt:lpwstr>
  </property>
  <property fmtid="{D5CDD505-2E9C-101B-9397-08002B2CF9AE}" pid="4" name="KSOTemplateDocerSaveRecord">
    <vt:lpwstr>eyJoZGlkIjoiYjVmNDkxZDQwYTIxMmZkYTIyMDQ3MzUxZWNhNmI4ZDIiLCJ1c2VySWQiOiI2Njg5OTg5NTgifQ==</vt:lpwstr>
  </property>
</Properties>
</file>